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8A" w:rsidRPr="00B87C8A" w:rsidRDefault="00B87C8A" w:rsidP="00B87C8A">
      <w:pPr>
        <w:pStyle w:val="NormalWeb"/>
        <w:shd w:val="clear" w:color="auto" w:fill="FFFFFF"/>
        <w:spacing w:before="0" w:beforeAutospacing="0" w:after="0" w:afterAutospacing="0"/>
        <w:jc w:val="center"/>
        <w:rPr>
          <w:rFonts w:asciiTheme="minorHAnsi" w:hAnsiTheme="minorHAnsi"/>
          <w:b/>
          <w:color w:val="222222"/>
          <w:sz w:val="22"/>
          <w:szCs w:val="22"/>
        </w:rPr>
      </w:pPr>
      <w:bookmarkStart w:id="0" w:name="_GoBack"/>
      <w:bookmarkEnd w:id="0"/>
      <w:r w:rsidRPr="00B87C8A">
        <w:rPr>
          <w:rFonts w:asciiTheme="minorHAnsi" w:hAnsiTheme="minorHAnsi"/>
          <w:b/>
          <w:color w:val="222222"/>
          <w:sz w:val="22"/>
          <w:szCs w:val="22"/>
        </w:rPr>
        <w:t>DIRECTEUR TECHNIQUE VOLAILLE – H/F</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MSD, l’un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xml:space="preserve">MSD Santé Animale est dédié aux médicaments vétérinaires, impliqué dans le développement, la fabrication et la vente de médicaments pour tous types d’animaux, et recrute actuellement un(e) </w:t>
      </w:r>
      <w:r w:rsidRPr="00B87C8A">
        <w:rPr>
          <w:rFonts w:asciiTheme="minorHAnsi" w:hAnsiTheme="minorHAnsi"/>
          <w:b/>
          <w:color w:val="222222"/>
          <w:sz w:val="22"/>
          <w:szCs w:val="22"/>
        </w:rPr>
        <w:t>Directeur Technique Volaille</w:t>
      </w:r>
      <w:r w:rsidRPr="00B87C8A">
        <w:rPr>
          <w:rFonts w:asciiTheme="minorHAnsi" w:hAnsiTheme="minorHAnsi"/>
          <w:color w:val="222222"/>
          <w:sz w:val="22"/>
          <w:szCs w:val="22"/>
        </w:rPr>
        <w:t xml:space="preserve"> en CDI. Vous intégrerez un environnement stimulant et international, basé sur le site de Beaucouzé (49). </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A ce poste, vous proposez la stratégie et les plans d’actions techniques pour atteindre les objectifs de développement demandés, et en assurez la mise en œuvre. Vous veillez au développement de l’image technique de l’entreprise auprès de la clientèle.</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Rattaché au Directeur de la BU Industrielle, vos principales missions sont de : </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Étudier le marché des produits vétérinaires de son unité et fournir (en terme de nouveautés techniques, d’évolution..) des analyses fiables et structurées nécessaires à la réflexion stratégique du groupe</w:t>
      </w:r>
      <w:r w:rsidRPr="00B87C8A">
        <w:rPr>
          <w:rFonts w:asciiTheme="minorHAnsi" w:hAnsiTheme="minorHAnsi"/>
          <w:color w:val="222222"/>
          <w:sz w:val="22"/>
          <w:szCs w:val="22"/>
        </w:rPr>
        <w:br/>
        <w:t>- Participer à l’élaboration des budgets en assurant les prévisions d’actions techniques et dépenses optimum</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Répartir les budgets techniques dont vous disposez, en s’assurant d’une rentabilité optimale des investissements dans le cadre des orientations stratégiques fixées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Définir avec son équipe les plans techniques et de communication des produits de la gamme au niveau national et international</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Prioriser et coordonner les actions de son équipe en s’assurant de la cohérence de l’ensemble</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Assurer la mise en œuvre des plans d’action technique dans les délais prévus et dans le cadre des budgets définis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Recueillir les informations techniques émanant des clients sur les produits ou la concurrence</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Définir et optimiser des positionnements techniques de produits pour assurer le meilleur relais possible sur le terrain par l’équipe de vente</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Former et aider l’équipe technique en termes de connaissance produits ou pathologie</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Pr>
          <w:rFonts w:asciiTheme="minorHAnsi" w:hAnsiTheme="minorHAnsi"/>
          <w:color w:val="222222"/>
          <w:sz w:val="22"/>
          <w:szCs w:val="22"/>
        </w:rPr>
        <w:t xml:space="preserve">- </w:t>
      </w:r>
      <w:r w:rsidRPr="00B87C8A">
        <w:rPr>
          <w:rFonts w:asciiTheme="minorHAnsi" w:hAnsiTheme="minorHAnsi"/>
          <w:color w:val="222222"/>
          <w:sz w:val="22"/>
          <w:szCs w:val="22"/>
        </w:rPr>
        <w:t>S’assurer de la conformité des actions mises en œuvre avec la législation</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Mettre en œuvre efficacement au meilleur coût des actions de communication et de sponsoring technique</w:t>
      </w:r>
      <w:r w:rsidRPr="00B87C8A">
        <w:rPr>
          <w:rFonts w:asciiTheme="minorHAnsi" w:hAnsiTheme="minorHAnsi"/>
          <w:color w:val="222222"/>
          <w:sz w:val="22"/>
          <w:szCs w:val="22"/>
        </w:rPr>
        <w:br/>
        <w:t>- Planifier et organiser le suivi technique lors de lancements des nouveaux produits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Proposer et mettre en place des essais techniques et des études scientifiques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Échanger des expériences avec ses homologues des autres pays et les services globaux</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Développer les compétences des responsables techniques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Développer des relations publiques pour l'entreprise (SIMV, SNGT, CNOV, AFVAC, DGAL…)</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Développer des bases de données scientifiques (revue, SharePoint, FAQ…)</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Organiser les formations et l’accompagnement technique des équipes de vente</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Participer activement au respect de la loi sur la transparence et de la loi anti-cadeaux (LAAF)</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lastRenderedPageBreak/>
        <w:t>Qualifications</w:t>
      </w: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De formation vétérinaire, idéalement spécialisé en aviculture</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Bonne connaissance du milieu vétérinaire, du marché et des produits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Reconnu(e) pour vos capacités de leadership, vous bénéficiez d’une expérience managériale </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Capacités d’analyse et de synthèse permettant d’élaborer des axes stratégiques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Excellentes compétences de communication et de négociation</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Capacité à travailler dans un environnement transversal</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Orientation client, capacité à gérer des projets, résoudre des problèmes et prendre des décisions</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 Maîtrise de l’anglais, à l’oral et à l’écrit </w:t>
      </w: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r w:rsidRPr="00B87C8A">
        <w:rPr>
          <w:rFonts w:asciiTheme="minorHAnsi" w:hAnsiTheme="minorHAnsi"/>
          <w:color w:val="222222"/>
          <w:sz w:val="22"/>
          <w:szCs w:val="22"/>
        </w:rPr>
        <w:t>Pour postuler, déposer votre dossier de candidature directement sur le site de M</w:t>
      </w:r>
      <w:r>
        <w:rPr>
          <w:rFonts w:asciiTheme="minorHAnsi" w:hAnsiTheme="minorHAnsi"/>
          <w:color w:val="222222"/>
          <w:sz w:val="22"/>
          <w:szCs w:val="22"/>
        </w:rPr>
        <w:t xml:space="preserve">SD carrière via le lien suivant : </w:t>
      </w:r>
    </w:p>
    <w:p w:rsidR="00B87C8A" w:rsidRDefault="00784671" w:rsidP="00B87C8A">
      <w:pPr>
        <w:pStyle w:val="NormalWeb"/>
        <w:shd w:val="clear" w:color="auto" w:fill="FFFFFF"/>
        <w:spacing w:before="0" w:beforeAutospacing="0" w:after="0" w:afterAutospacing="0"/>
        <w:jc w:val="both"/>
        <w:rPr>
          <w:rFonts w:asciiTheme="minorHAnsi" w:hAnsiTheme="minorHAnsi"/>
          <w:color w:val="222222"/>
          <w:sz w:val="22"/>
          <w:szCs w:val="22"/>
        </w:rPr>
      </w:pPr>
      <w:hyperlink r:id="rId7" w:history="1">
        <w:r w:rsidR="00B87C8A" w:rsidRPr="00D70F56">
          <w:rPr>
            <w:rStyle w:val="Lienhypertexte"/>
            <w:rFonts w:asciiTheme="minorHAnsi" w:hAnsiTheme="minorHAnsi"/>
            <w:sz w:val="22"/>
            <w:szCs w:val="22"/>
          </w:rPr>
          <w:t>https://taleo.msd.com/careersection/ext_msdfrance_fr/jobdetail.ftl?job=TEC001260&amp;tz=GMT%2B02%3A00</w:t>
        </w:r>
      </w:hyperlink>
    </w:p>
    <w:p w:rsid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B87C8A" w:rsidRPr="00B87C8A" w:rsidRDefault="00B87C8A" w:rsidP="00B87C8A">
      <w:pPr>
        <w:pStyle w:val="NormalWeb"/>
        <w:shd w:val="clear" w:color="auto" w:fill="FFFFFF"/>
        <w:spacing w:before="0" w:beforeAutospacing="0" w:after="0" w:afterAutospacing="0"/>
        <w:jc w:val="both"/>
        <w:rPr>
          <w:rFonts w:asciiTheme="minorHAnsi" w:hAnsiTheme="minorHAnsi"/>
          <w:color w:val="222222"/>
          <w:sz w:val="22"/>
          <w:szCs w:val="22"/>
        </w:rPr>
      </w:pPr>
    </w:p>
    <w:p w:rsidR="00C8130A" w:rsidRPr="00B87C8A" w:rsidRDefault="00C8130A" w:rsidP="00B87C8A">
      <w:pPr>
        <w:jc w:val="both"/>
      </w:pPr>
    </w:p>
    <w:sectPr w:rsidR="00C8130A" w:rsidRPr="00B87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9D" w:rsidRDefault="00290F9D" w:rsidP="00B87C8A">
      <w:pPr>
        <w:spacing w:after="0" w:line="240" w:lineRule="auto"/>
      </w:pPr>
      <w:r>
        <w:separator/>
      </w:r>
    </w:p>
  </w:endnote>
  <w:endnote w:type="continuationSeparator" w:id="0">
    <w:p w:rsidR="00290F9D" w:rsidRDefault="00290F9D" w:rsidP="00B8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9D" w:rsidRDefault="00290F9D" w:rsidP="00B87C8A">
      <w:pPr>
        <w:spacing w:after="0" w:line="240" w:lineRule="auto"/>
      </w:pPr>
      <w:r>
        <w:separator/>
      </w:r>
    </w:p>
  </w:footnote>
  <w:footnote w:type="continuationSeparator" w:id="0">
    <w:p w:rsidR="00290F9D" w:rsidRDefault="00290F9D" w:rsidP="00B87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8A"/>
    <w:rsid w:val="00290F9D"/>
    <w:rsid w:val="00784671"/>
    <w:rsid w:val="00B87C8A"/>
    <w:rsid w:val="00C81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7B9765-92D2-413A-B8D5-48BDB7C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8A"/>
    <w:pPr>
      <w:tabs>
        <w:tab w:val="center" w:pos="4536"/>
        <w:tab w:val="right" w:pos="9072"/>
      </w:tabs>
      <w:spacing w:after="0" w:line="240" w:lineRule="auto"/>
    </w:pPr>
  </w:style>
  <w:style w:type="character" w:customStyle="1" w:styleId="En-tteCar">
    <w:name w:val="En-tête Car"/>
    <w:basedOn w:val="Policepardfaut"/>
    <w:link w:val="En-tte"/>
    <w:uiPriority w:val="99"/>
    <w:rsid w:val="00B87C8A"/>
  </w:style>
  <w:style w:type="paragraph" w:styleId="Pieddepage">
    <w:name w:val="footer"/>
    <w:basedOn w:val="Normal"/>
    <w:link w:val="PieddepageCar"/>
    <w:uiPriority w:val="99"/>
    <w:unhideWhenUsed/>
    <w:rsid w:val="00B87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8A"/>
  </w:style>
  <w:style w:type="paragraph" w:styleId="NormalWeb">
    <w:name w:val="Normal (Web)"/>
    <w:basedOn w:val="Normal"/>
    <w:uiPriority w:val="99"/>
    <w:semiHidden/>
    <w:unhideWhenUsed/>
    <w:rsid w:val="00B87C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8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leo.msd.com/careersection/ext_msdfrance_fr/jobdetail.ftl?job=TEC001260&amp;tz=GMT%2B02%3A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1D3A5D0D-6DF8-4073-BA32-2F358F6057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3745</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 SIMV</cp:lastModifiedBy>
  <cp:revision>2</cp:revision>
  <dcterms:created xsi:type="dcterms:W3CDTF">2018-04-13T14:50:00Z</dcterms:created>
  <dcterms:modified xsi:type="dcterms:W3CDTF">2018-04-13T14:50:00Z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21b6e138-b3ff-47cd-8e8b-d04792ae52f6</vt:lpwstr>
  </property>
  <property fmtid="{D5CDD505-2E9C-101B-9397-08002B2CF9AE}" pid="3" name="bjSaver">
    <vt:lpwstr>dbLmH28FM6N0e99JRoRZLnrn4T+hfQjn</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-393109114</vt:i4>
  </property>
  <property fmtid="{D5CDD505-2E9C-101B-9397-08002B2CF9AE}" pid="8" name="_NewReviewCycle">
    <vt:lpwstr/>
  </property>
  <property fmtid="{D5CDD505-2E9C-101B-9397-08002B2CF9AE}" pid="9" name="_EmailSubject">
    <vt:lpwstr>Offres d'emplois - MSD Santé Animale </vt:lpwstr>
  </property>
  <property fmtid="{D5CDD505-2E9C-101B-9397-08002B2CF9AE}" pid="10" name="_AuthorEmail">
    <vt:lpwstr>elsa.thellier@msd.com</vt:lpwstr>
  </property>
  <property fmtid="{D5CDD505-2E9C-101B-9397-08002B2CF9AE}" pid="11" name="_AuthorEmailDisplayName">
    <vt:lpwstr>Thellier,Elsa</vt:lpwstr>
  </property>
  <property fmtid="{D5CDD505-2E9C-101B-9397-08002B2CF9AE}" pid="12" name="_ReviewingToolsShownOnce">
    <vt:lpwstr/>
  </property>
</Properties>
</file>