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1D" w:rsidRDefault="00D84C1D" w:rsidP="00D84C1D">
      <w:pPr>
        <w:pStyle w:val="Sansinterligne"/>
        <w:jc w:val="both"/>
        <w:rPr>
          <w:lang w:val="fr-FR"/>
        </w:rPr>
      </w:pPr>
      <w:bookmarkStart w:id="0" w:name="_GoBack"/>
      <w:bookmarkEnd w:id="0"/>
      <w:r>
        <w:rPr>
          <w:lang w:val="fr-FR"/>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w:t>
      </w:r>
    </w:p>
    <w:p w:rsidR="00D84C1D" w:rsidRDefault="00D84C1D" w:rsidP="00D84C1D">
      <w:pPr>
        <w:pStyle w:val="Sansinterligne"/>
        <w:jc w:val="both"/>
        <w:rPr>
          <w:lang w:val="fr-FR"/>
        </w:rPr>
      </w:pPr>
      <w:r>
        <w:rPr>
          <w:lang w:val="fr-FR"/>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w:t>
      </w:r>
    </w:p>
    <w:p w:rsidR="00D84C1D" w:rsidRDefault="00D84C1D" w:rsidP="00D84C1D">
      <w:pPr>
        <w:pStyle w:val="Sansinterligne"/>
        <w:jc w:val="both"/>
        <w:rPr>
          <w:lang w:val="fr-FR"/>
        </w:rPr>
      </w:pPr>
    </w:p>
    <w:p w:rsidR="00D84C1D" w:rsidRDefault="00D84C1D" w:rsidP="00D84C1D">
      <w:pPr>
        <w:pStyle w:val="Sansinterligne"/>
        <w:jc w:val="both"/>
        <w:rPr>
          <w:b/>
          <w:lang w:val="fr-FR"/>
        </w:rPr>
      </w:pPr>
      <w:r>
        <w:rPr>
          <w:lang w:val="fr-FR"/>
        </w:rPr>
        <w:t xml:space="preserve">Pour notre site de Santé Animale, basé à Beaucouzé, nous recherchons </w:t>
      </w:r>
      <w:r>
        <w:rPr>
          <w:b/>
          <w:lang w:val="fr-FR"/>
        </w:rPr>
        <w:t xml:space="preserve">un Responsable </w:t>
      </w:r>
      <w:r w:rsidR="0011278D">
        <w:rPr>
          <w:b/>
          <w:lang w:val="fr-FR"/>
        </w:rPr>
        <w:t>d’Applications IT (Senior Specialist Business Analysis) H/F</w:t>
      </w:r>
      <w:r>
        <w:rPr>
          <w:b/>
          <w:lang w:val="fr-FR"/>
        </w:rPr>
        <w:t>.</w:t>
      </w:r>
    </w:p>
    <w:p w:rsidR="00D84C1D" w:rsidRDefault="00D84C1D" w:rsidP="00D84C1D">
      <w:pPr>
        <w:pStyle w:val="Sansinterligne"/>
        <w:jc w:val="both"/>
        <w:rPr>
          <w:b/>
          <w:lang w:val="fr-FR"/>
        </w:rPr>
      </w:pPr>
    </w:p>
    <w:p w:rsidR="00D84C1D" w:rsidRPr="00D84C1D" w:rsidRDefault="00D84C1D" w:rsidP="00D84C1D">
      <w:pPr>
        <w:pStyle w:val="Sansinterligne"/>
        <w:jc w:val="both"/>
        <w:rPr>
          <w:u w:val="single"/>
          <w:lang w:val="fr-FR"/>
        </w:rPr>
      </w:pPr>
      <w:r w:rsidRPr="00D84C1D">
        <w:rPr>
          <w:u w:val="single"/>
          <w:lang w:val="fr-FR"/>
        </w:rPr>
        <w:t xml:space="preserve">Missions confiées : </w:t>
      </w:r>
    </w:p>
    <w:p w:rsidR="0011278D" w:rsidRDefault="0011278D" w:rsidP="0011278D">
      <w:pPr>
        <w:shd w:val="clear" w:color="auto" w:fill="FFFFFF"/>
        <w:spacing w:after="0" w:line="240" w:lineRule="auto"/>
        <w:jc w:val="both"/>
        <w:rPr>
          <w:rFonts w:eastAsia="Times New Roman" w:cstheme="minorHAnsi"/>
          <w:color w:val="000000"/>
          <w:lang w:val="fr-FR"/>
        </w:rPr>
      </w:pPr>
      <w:r w:rsidRPr="0011278D">
        <w:rPr>
          <w:rFonts w:eastAsia="Times New Roman" w:cstheme="minorHAnsi"/>
          <w:color w:val="000000"/>
          <w:lang w:val="fr-FR"/>
        </w:rPr>
        <w:t>Le Senior Specialist Business Analysis fait le lien entre le service IT, la société et les utilisateurs. Il garantit l’adéquation des besoins de la société avec les solutions (AH)-IT disponibles. </w:t>
      </w:r>
      <w:r w:rsidRPr="0011278D">
        <w:rPr>
          <w:rFonts w:eastAsia="Times New Roman" w:cstheme="minorHAnsi"/>
          <w:color w:val="000000"/>
          <w:lang w:val="fr-FR"/>
        </w:rPr>
        <w:br/>
        <w:t>Il est responsable, auprès des dirigeants France, Belgique, Pays-Bas, Scandinavie et potentiellement d’autres pays dans le futur, des activités AH IT pour le support des activités commerciales de ces pays. </w:t>
      </w:r>
      <w:r w:rsidRPr="0011278D">
        <w:rPr>
          <w:rFonts w:eastAsia="Times New Roman" w:cstheme="minorHAnsi"/>
          <w:color w:val="000000"/>
          <w:lang w:val="fr-FR"/>
        </w:rPr>
        <w:br/>
      </w:r>
      <w:r w:rsidRPr="0011278D">
        <w:rPr>
          <w:rFonts w:eastAsia="Times New Roman" w:cstheme="minorHAnsi"/>
          <w:color w:val="000000"/>
          <w:lang w:val="fr-FR"/>
        </w:rPr>
        <w:br/>
        <w:t>Caractéristiques de la fonction</w:t>
      </w:r>
    </w:p>
    <w:p w:rsidR="0011278D" w:rsidRDefault="0011278D" w:rsidP="0011278D">
      <w:pPr>
        <w:shd w:val="clear" w:color="auto" w:fill="FFFFFF"/>
        <w:spacing w:after="0" w:line="240" w:lineRule="auto"/>
        <w:jc w:val="both"/>
        <w:rPr>
          <w:rFonts w:eastAsia="Times New Roman" w:cstheme="minorHAnsi"/>
          <w:color w:val="000000"/>
          <w:lang w:val="fr-FR"/>
        </w:rPr>
      </w:pPr>
      <w:r w:rsidRPr="0011278D">
        <w:rPr>
          <w:rFonts w:eastAsia="Times New Roman" w:cstheme="minorHAnsi"/>
          <w:color w:val="000000"/>
          <w:lang w:val="fr-FR"/>
        </w:rPr>
        <w:t>En tant qu’expert en matière d’IT, il est responsable de l’industrialisation des solutions (AH)-IT disponibles dans les pays sus-mentionnés.</w:t>
      </w:r>
    </w:p>
    <w:p w:rsidR="0011278D" w:rsidRPr="0011278D" w:rsidRDefault="0011278D" w:rsidP="0011278D">
      <w:pPr>
        <w:shd w:val="clear" w:color="auto" w:fill="FFFFFF"/>
        <w:spacing w:after="0" w:line="240" w:lineRule="auto"/>
        <w:jc w:val="both"/>
        <w:rPr>
          <w:rFonts w:eastAsia="Times New Roman" w:cstheme="minorHAnsi"/>
          <w:color w:val="000000"/>
          <w:lang w:val="fr-FR"/>
        </w:rPr>
      </w:pPr>
      <w:r w:rsidRPr="0011278D">
        <w:rPr>
          <w:rFonts w:eastAsia="Times New Roman" w:cstheme="minorHAnsi"/>
          <w:color w:val="000000"/>
          <w:lang w:val="fr-FR"/>
        </w:rPr>
        <w:br/>
        <w:t>Le Senior Specialist Business Analysis devra :</w:t>
      </w:r>
    </w:p>
    <w:p w:rsidR="0011278D" w:rsidRPr="0011278D" w:rsidRDefault="0011278D" w:rsidP="0011278D">
      <w:pPr>
        <w:pStyle w:val="Sansinterligne"/>
        <w:numPr>
          <w:ilvl w:val="0"/>
          <w:numId w:val="8"/>
        </w:numPr>
        <w:tabs>
          <w:tab w:val="clear" w:pos="720"/>
          <w:tab w:val="num" w:pos="284"/>
        </w:tabs>
        <w:ind w:left="284" w:hanging="284"/>
        <w:rPr>
          <w:lang w:val="fr-FR"/>
        </w:rPr>
      </w:pPr>
      <w:r w:rsidRPr="0011278D">
        <w:rPr>
          <w:lang w:val="fr-FR"/>
        </w:rPr>
        <w:t>Piloter la politique IT, en collaboration avec les dirigeants des pays et en adéquation avec la stratégie de l’entreprise et la standardisation et simplification continue des recommandations IT</w:t>
      </w:r>
    </w:p>
    <w:p w:rsidR="0011278D" w:rsidRPr="0011278D" w:rsidRDefault="0011278D" w:rsidP="0011278D">
      <w:pPr>
        <w:pStyle w:val="Sansinterligne"/>
        <w:numPr>
          <w:ilvl w:val="0"/>
          <w:numId w:val="8"/>
        </w:numPr>
        <w:tabs>
          <w:tab w:val="clear" w:pos="720"/>
          <w:tab w:val="num" w:pos="284"/>
        </w:tabs>
        <w:ind w:left="284" w:hanging="284"/>
        <w:rPr>
          <w:lang w:val="fr-FR"/>
        </w:rPr>
      </w:pPr>
      <w:r w:rsidRPr="0011278D">
        <w:rPr>
          <w:lang w:val="fr-FR"/>
        </w:rPr>
        <w:t>Agir en tant qu’expert en la matière, en alignant la demande des pays qui soutiennent la stratégie du Groupe avec les solutions (AH)-IT disponibles, le plan stratégique (AH)-IT, et les standards et orientations de Merck/MSD, basé sur une importante compréhension de l’activité commerciale de la société</w:t>
      </w:r>
    </w:p>
    <w:p w:rsidR="0011278D" w:rsidRPr="0011278D" w:rsidRDefault="0011278D" w:rsidP="0011278D">
      <w:pPr>
        <w:pStyle w:val="Sansinterligne"/>
        <w:numPr>
          <w:ilvl w:val="0"/>
          <w:numId w:val="8"/>
        </w:numPr>
        <w:tabs>
          <w:tab w:val="clear" w:pos="720"/>
          <w:tab w:val="num" w:pos="284"/>
        </w:tabs>
        <w:ind w:left="284" w:hanging="284"/>
        <w:rPr>
          <w:lang w:val="fr-FR"/>
        </w:rPr>
      </w:pPr>
      <w:r w:rsidRPr="0011278D">
        <w:rPr>
          <w:lang w:val="fr-FR"/>
        </w:rPr>
        <w:t>Proposer les solutions (AH)-IT aux dirigeants des pays pour satisfaire leur demande de facilitateurs IT</w:t>
      </w:r>
    </w:p>
    <w:p w:rsidR="0011278D" w:rsidRPr="0011278D" w:rsidRDefault="0011278D" w:rsidP="0011278D">
      <w:pPr>
        <w:pStyle w:val="Sansinterligne"/>
        <w:numPr>
          <w:ilvl w:val="0"/>
          <w:numId w:val="8"/>
        </w:numPr>
        <w:tabs>
          <w:tab w:val="clear" w:pos="720"/>
          <w:tab w:val="num" w:pos="284"/>
        </w:tabs>
        <w:ind w:left="284" w:hanging="284"/>
        <w:rPr>
          <w:lang w:val="fr-FR"/>
        </w:rPr>
      </w:pPr>
      <w:r w:rsidRPr="0011278D">
        <w:rPr>
          <w:lang w:val="fr-FR"/>
        </w:rPr>
        <w:t>Industrialiser les solutions disponibles (AH)-IT en facilitant la rédaction des localisation/personnalisation, la date d’intégration, les UAT et formations utilisateurs</w:t>
      </w:r>
    </w:p>
    <w:p w:rsidR="0011278D" w:rsidRDefault="0011278D" w:rsidP="0011278D">
      <w:pPr>
        <w:pStyle w:val="Sansinterligne"/>
        <w:numPr>
          <w:ilvl w:val="0"/>
          <w:numId w:val="8"/>
        </w:numPr>
        <w:tabs>
          <w:tab w:val="clear" w:pos="720"/>
          <w:tab w:val="num" w:pos="284"/>
        </w:tabs>
        <w:ind w:left="284" w:hanging="284"/>
        <w:rPr>
          <w:lang w:val="fr-FR"/>
        </w:rPr>
      </w:pPr>
      <w:r w:rsidRPr="0011278D">
        <w:rPr>
          <w:lang w:val="fr-FR"/>
        </w:rPr>
        <w:t>Collaborer avec les organisations IT internes et externes pour assurer la livraison des solutions IT et autres services nécessaires</w:t>
      </w:r>
    </w:p>
    <w:p w:rsidR="0011278D" w:rsidRPr="0011278D" w:rsidRDefault="0011278D" w:rsidP="0011278D">
      <w:pPr>
        <w:pStyle w:val="Sansinterligne"/>
        <w:ind w:left="284"/>
        <w:rPr>
          <w:lang w:val="fr-FR"/>
        </w:rPr>
      </w:pPr>
    </w:p>
    <w:p w:rsidR="0011278D" w:rsidRPr="0011278D" w:rsidRDefault="0011278D" w:rsidP="0011278D">
      <w:pPr>
        <w:shd w:val="clear" w:color="auto" w:fill="FFFFFF"/>
        <w:spacing w:after="0" w:line="240" w:lineRule="auto"/>
        <w:jc w:val="both"/>
        <w:rPr>
          <w:rFonts w:eastAsia="Times New Roman" w:cstheme="minorHAnsi"/>
          <w:color w:val="000000"/>
        </w:rPr>
      </w:pPr>
      <w:r w:rsidRPr="0011278D">
        <w:rPr>
          <w:rFonts w:eastAsia="Times New Roman" w:cstheme="minorHAnsi"/>
          <w:color w:val="000000"/>
        </w:rPr>
        <w:t>Activités principales:</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t>Aider et conseiller les hauts responsables sur les problématiques spécifiques du pays en matière d’IT</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t>Mettre en adéquation la demande du pays avec les services et plateformes (AH)-IT disponibles, le plan stratégique (AH)-IT, et les standards et orientations de Merck/MSD</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t>Proposer des solutions existantes (AH)-IT aux dirigeants des pays pour générer une valeur commerciale pour Merck/MSD</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t>Promouvoir l’industrialisation des solutions (AH)-IT</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t>Faciliter la rationalisation, la synchronisation, la consolidation ou la suppression d’applications et technologies afin de réduire la complexité et augmenter la souplesse commerciale</w:t>
      </w:r>
    </w:p>
    <w:p w:rsidR="0011278D" w:rsidRPr="0011278D" w:rsidRDefault="0011278D" w:rsidP="0011278D">
      <w:pPr>
        <w:pStyle w:val="Sansinterligne"/>
        <w:numPr>
          <w:ilvl w:val="0"/>
          <w:numId w:val="7"/>
        </w:numPr>
        <w:tabs>
          <w:tab w:val="clear" w:pos="720"/>
          <w:tab w:val="num" w:pos="284"/>
        </w:tabs>
        <w:ind w:left="284" w:hanging="284"/>
        <w:rPr>
          <w:lang w:val="fr-FR"/>
        </w:rPr>
      </w:pPr>
      <w:r w:rsidRPr="0011278D">
        <w:rPr>
          <w:lang w:val="fr-FR"/>
        </w:rPr>
        <w:lastRenderedPageBreak/>
        <w:t>Gérer la communication et les attentes des clients des différents pays tout en simplifiant l’implication IT, en servant de premier point de contact avec le business </w:t>
      </w:r>
    </w:p>
    <w:p w:rsidR="00D84C1D" w:rsidRPr="00D84C1D" w:rsidRDefault="00D84C1D" w:rsidP="00D84C1D">
      <w:pPr>
        <w:pStyle w:val="Sansinterligne"/>
        <w:jc w:val="both"/>
        <w:rPr>
          <w:lang w:val="fr-FR"/>
        </w:rPr>
      </w:pPr>
    </w:p>
    <w:p w:rsidR="00D84C1D" w:rsidRPr="00D84C1D" w:rsidRDefault="00D84C1D" w:rsidP="00D84C1D">
      <w:pPr>
        <w:pStyle w:val="Sansinterligne"/>
        <w:jc w:val="both"/>
        <w:rPr>
          <w:u w:val="single"/>
          <w:lang w:val="fr-FR"/>
        </w:rPr>
      </w:pPr>
      <w:r w:rsidRPr="00D84C1D">
        <w:rPr>
          <w:u w:val="single"/>
          <w:lang w:val="fr-FR"/>
        </w:rPr>
        <w:t xml:space="preserve">Profil : </w:t>
      </w:r>
    </w:p>
    <w:p w:rsidR="0011278D" w:rsidRPr="0011278D" w:rsidRDefault="0011278D" w:rsidP="0011278D">
      <w:pPr>
        <w:pStyle w:val="Sansinterligne"/>
      </w:pPr>
      <w:r w:rsidRPr="0011278D">
        <w:rPr>
          <w:lang w:val="fr-FR"/>
        </w:rPr>
        <w:t>De formation Bac+4 ou expérience équivalente dans le domaine de l’informatique, vous savez mettre en œuvre des connaissances approfondies conduisant à résoudre les problèmes complexes dans votre domaine d’activité. </w:t>
      </w:r>
      <w:r w:rsidRPr="0011278D">
        <w:rPr>
          <w:lang w:val="fr-FR"/>
        </w:rPr>
        <w:br/>
        <w:t>Vous conseillez ou établissez des recommandations pour faciliter et optimiser les résultats du travail d’autrui. </w:t>
      </w:r>
      <w:r w:rsidRPr="0011278D">
        <w:rPr>
          <w:lang w:val="fr-FR"/>
        </w:rPr>
        <w:br/>
        <w:t>Vous êtes reconnu pour vos capacités d’organisation, votre autonomie, votre sens des responsabilités. </w:t>
      </w:r>
      <w:r w:rsidRPr="0011278D">
        <w:rPr>
          <w:lang w:val="fr-FR"/>
        </w:rPr>
        <w:br/>
        <w:t>Vous maîtrisez l’anglais tant à l’écrit qu’à l’oral et êtes capable d’intervenir lors de meetings internationaux. </w:t>
      </w:r>
      <w:r w:rsidRPr="0011278D">
        <w:rPr>
          <w:lang w:val="fr-FR"/>
        </w:rPr>
        <w:br/>
      </w:r>
      <w:r w:rsidRPr="0011278D">
        <w:rPr>
          <w:lang w:val="fr-FR"/>
        </w:rPr>
        <w:br/>
      </w:r>
      <w:r w:rsidRPr="0011278D">
        <w:t>Connaissances particulières</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Une expérience réussie en tant que business analyst dans l’industrie (si possible pharmaceutique) avec un fort accent sur l’innovation et sur les systèmes et process commerciaux et d’approvisionnement</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Une efficacité à travailler avec vos collègues, comprendre leurs besoins et les retranscrire de façon claire</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Compétences fortes orientées résultats</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Excellentes capacités à communiquer et influencer</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Membre d’une équipe et qui accorde une place importante aux réussites collectives</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Écrire et parler l’anglais de manière fluide</w:t>
      </w:r>
    </w:p>
    <w:p w:rsidR="0011278D" w:rsidRPr="0011278D" w:rsidRDefault="0011278D" w:rsidP="0011278D">
      <w:pPr>
        <w:pStyle w:val="Sansinterligne"/>
        <w:numPr>
          <w:ilvl w:val="0"/>
          <w:numId w:val="6"/>
        </w:numPr>
        <w:tabs>
          <w:tab w:val="clear" w:pos="720"/>
          <w:tab w:val="num" w:pos="284"/>
        </w:tabs>
        <w:ind w:left="284" w:hanging="284"/>
        <w:rPr>
          <w:lang w:val="fr-FR"/>
        </w:rPr>
      </w:pPr>
      <w:r w:rsidRPr="0011278D">
        <w:rPr>
          <w:lang w:val="fr-FR"/>
        </w:rPr>
        <w:t>De fortes valeurs éthiques personnelles et professionnelles, intégrité, et un niveau d’énergie et de résistance requis par la fonction</w:t>
      </w:r>
    </w:p>
    <w:p w:rsidR="00D84C1D" w:rsidRPr="00D84C1D" w:rsidRDefault="00D84C1D" w:rsidP="00D84C1D">
      <w:pPr>
        <w:pStyle w:val="Sansinterligne"/>
        <w:jc w:val="both"/>
        <w:rPr>
          <w:lang w:val="fr-FR"/>
        </w:rPr>
      </w:pPr>
    </w:p>
    <w:p w:rsidR="00D84C1D" w:rsidRPr="00D84C1D" w:rsidRDefault="00D84C1D" w:rsidP="00D84C1D">
      <w:pPr>
        <w:pStyle w:val="Sansinterligne"/>
        <w:jc w:val="both"/>
        <w:rPr>
          <w:u w:val="single"/>
          <w:lang w:val="fr-FR"/>
        </w:rPr>
      </w:pPr>
      <w:r w:rsidRPr="00D84C1D">
        <w:rPr>
          <w:u w:val="single"/>
          <w:lang w:val="fr-FR"/>
        </w:rPr>
        <w:t xml:space="preserve">Contact : </w:t>
      </w:r>
    </w:p>
    <w:p w:rsidR="00D84C1D" w:rsidRDefault="00D84C1D" w:rsidP="00D84C1D">
      <w:pPr>
        <w:pStyle w:val="Sansinterligne"/>
        <w:jc w:val="both"/>
        <w:rPr>
          <w:lang w:val="fr-FR"/>
        </w:rPr>
      </w:pPr>
      <w:r w:rsidRPr="00D84C1D">
        <w:rPr>
          <w:lang w:val="fr-FR"/>
        </w:rPr>
        <w:t xml:space="preserve">Merci de postuler à l’offre via le lien suivant : </w:t>
      </w:r>
    </w:p>
    <w:p w:rsidR="00D84C1D" w:rsidRPr="00D84C1D" w:rsidRDefault="008E12B8" w:rsidP="00D84C1D">
      <w:pPr>
        <w:pStyle w:val="Sansinterligne"/>
        <w:jc w:val="both"/>
        <w:rPr>
          <w:lang w:val="fr-FR"/>
        </w:rPr>
      </w:pPr>
      <w:hyperlink r:id="rId9" w:history="1">
        <w:r w:rsidR="0011278D" w:rsidRPr="0056289F">
          <w:rPr>
            <w:rStyle w:val="Lienhypertexte"/>
            <w:lang w:val="fr-FR"/>
          </w:rPr>
          <w:t>https://taleo.msd.com/careersection/ext_msdfrance_fr/jobdetail.ftl?job=BUS001664</w:t>
        </w:r>
      </w:hyperlink>
      <w:r w:rsidR="0011278D">
        <w:rPr>
          <w:lang w:val="fr-FR"/>
        </w:rPr>
        <w:t xml:space="preserve"> </w:t>
      </w:r>
    </w:p>
    <w:p w:rsidR="00D84C1D" w:rsidRDefault="00D84C1D" w:rsidP="00D84C1D">
      <w:pPr>
        <w:pStyle w:val="Sansinterligne"/>
        <w:jc w:val="both"/>
        <w:rPr>
          <w:b/>
          <w:lang w:val="fr-FR"/>
        </w:rPr>
      </w:pPr>
    </w:p>
    <w:p w:rsidR="00D84C1D" w:rsidRDefault="00D84C1D" w:rsidP="00D84C1D">
      <w:pPr>
        <w:pStyle w:val="Sansinterligne"/>
        <w:jc w:val="both"/>
        <w:rPr>
          <w:lang w:val="fr-FR"/>
        </w:rPr>
      </w:pPr>
      <w:r>
        <w:rPr>
          <w:lang w:val="fr-FR"/>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 </w:t>
      </w:r>
    </w:p>
    <w:p w:rsidR="00D84C1D" w:rsidRDefault="00D84C1D" w:rsidP="00D84C1D">
      <w:pPr>
        <w:pStyle w:val="Sansinterligne"/>
        <w:jc w:val="both"/>
        <w:rPr>
          <w:b/>
          <w:lang w:val="fr-FR"/>
        </w:rPr>
      </w:pPr>
    </w:p>
    <w:p w:rsidR="003506EE" w:rsidRPr="00D84C1D" w:rsidRDefault="003506EE">
      <w:pPr>
        <w:rPr>
          <w:lang w:val="fr-FR"/>
        </w:rPr>
      </w:pPr>
    </w:p>
    <w:sectPr w:rsidR="003506EE" w:rsidRPr="00D84C1D" w:rsidSect="00197C82">
      <w:headerReference w:type="even" r:id="rId10"/>
      <w:headerReference w:type="default" r:id="rId11"/>
      <w:footerReference w:type="even" r:id="rId12"/>
      <w:footerReference w:type="default" r:id="rId13"/>
      <w:headerReference w:type="first" r:id="rId14"/>
      <w:footerReference w:type="first" r:id="rId15"/>
      <w:pgSz w:w="12240" w:h="15840"/>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1D" w:rsidRDefault="00D84C1D" w:rsidP="00D84C1D">
      <w:pPr>
        <w:spacing w:after="0" w:line="240" w:lineRule="auto"/>
      </w:pPr>
      <w:r>
        <w:separator/>
      </w:r>
    </w:p>
  </w:endnote>
  <w:endnote w:type="continuationSeparator" w:id="0">
    <w:p w:rsidR="00D84C1D" w:rsidRDefault="00D84C1D" w:rsidP="00D8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8D" w:rsidRDefault="00112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83" w:rsidRDefault="0011278D">
    <w:pPr>
      <w:pStyle w:val="Pieddepage"/>
    </w:pPr>
    <w:r>
      <w:rPr>
        <w:noProof/>
        <w:lang w:val="fr-FR"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-283372</wp:posOffset>
          </wp:positionV>
          <wp:extent cx="903768" cy="457200"/>
          <wp:effectExtent l="0" t="0" r="0" b="0"/>
          <wp:wrapNone/>
          <wp:docPr id="1"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768" cy="457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8D" w:rsidRDefault="00112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1D" w:rsidRDefault="00D84C1D" w:rsidP="00D84C1D">
      <w:pPr>
        <w:spacing w:after="0" w:line="240" w:lineRule="auto"/>
      </w:pPr>
      <w:r>
        <w:separator/>
      </w:r>
    </w:p>
  </w:footnote>
  <w:footnote w:type="continuationSeparator" w:id="0">
    <w:p w:rsidR="00D84C1D" w:rsidRDefault="00D84C1D" w:rsidP="00D8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8D" w:rsidRDefault="00112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83" w:rsidRDefault="00CD1C83">
    <w:pPr>
      <w:pStyle w:val="En-tte"/>
    </w:pPr>
    <w:r>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59EDE22B" wp14:editId="160A68AF">
          <wp:simplePos x="0" y="0"/>
          <wp:positionH relativeFrom="column">
            <wp:posOffset>4497070</wp:posOffset>
          </wp:positionH>
          <wp:positionV relativeFrom="paragraph">
            <wp:posOffset>27305</wp:posOffset>
          </wp:positionV>
          <wp:extent cx="1804035" cy="626745"/>
          <wp:effectExtent l="0" t="0" r="5715" b="1905"/>
          <wp:wrapSquare wrapText="bothSides"/>
          <wp:docPr id="2" name="Image 2" descr="msd_ah_logo_Fren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ah_logo_Fren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8D" w:rsidRDefault="00112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EA5"/>
    <w:multiLevelType w:val="hybridMultilevel"/>
    <w:tmpl w:val="C0368C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450B1"/>
    <w:multiLevelType w:val="multilevel"/>
    <w:tmpl w:val="2E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B0D8F"/>
    <w:multiLevelType w:val="multilevel"/>
    <w:tmpl w:val="D1D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27FA5"/>
    <w:multiLevelType w:val="multilevel"/>
    <w:tmpl w:val="2E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C2808"/>
    <w:multiLevelType w:val="multilevel"/>
    <w:tmpl w:val="2E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E587B"/>
    <w:multiLevelType w:val="multilevel"/>
    <w:tmpl w:val="2E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A1D7E"/>
    <w:multiLevelType w:val="multilevel"/>
    <w:tmpl w:val="2E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56F9D"/>
    <w:multiLevelType w:val="hybridMultilevel"/>
    <w:tmpl w:val="6E58AA1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1D"/>
    <w:rsid w:val="0000229D"/>
    <w:rsid w:val="0001247D"/>
    <w:rsid w:val="00020D59"/>
    <w:rsid w:val="000313D8"/>
    <w:rsid w:val="00037973"/>
    <w:rsid w:val="000470D7"/>
    <w:rsid w:val="000479BD"/>
    <w:rsid w:val="00075EED"/>
    <w:rsid w:val="00082BD6"/>
    <w:rsid w:val="00085A4B"/>
    <w:rsid w:val="0009493B"/>
    <w:rsid w:val="000A4D69"/>
    <w:rsid w:val="000B2DCF"/>
    <w:rsid w:val="000D406F"/>
    <w:rsid w:val="000E13EF"/>
    <w:rsid w:val="000F5490"/>
    <w:rsid w:val="00111C3D"/>
    <w:rsid w:val="0011278D"/>
    <w:rsid w:val="00144E22"/>
    <w:rsid w:val="0015030A"/>
    <w:rsid w:val="0015082A"/>
    <w:rsid w:val="00151903"/>
    <w:rsid w:val="001865F7"/>
    <w:rsid w:val="00197C82"/>
    <w:rsid w:val="001B0E78"/>
    <w:rsid w:val="001B4F05"/>
    <w:rsid w:val="001C3EBC"/>
    <w:rsid w:val="001C6208"/>
    <w:rsid w:val="001D5D4D"/>
    <w:rsid w:val="00204603"/>
    <w:rsid w:val="00216F4A"/>
    <w:rsid w:val="00231FC0"/>
    <w:rsid w:val="00245668"/>
    <w:rsid w:val="00251CC7"/>
    <w:rsid w:val="00271C60"/>
    <w:rsid w:val="00291A37"/>
    <w:rsid w:val="002A3F8D"/>
    <w:rsid w:val="002E0095"/>
    <w:rsid w:val="002F69A0"/>
    <w:rsid w:val="00311EDC"/>
    <w:rsid w:val="0031223E"/>
    <w:rsid w:val="00314D3B"/>
    <w:rsid w:val="003368E9"/>
    <w:rsid w:val="00350050"/>
    <w:rsid w:val="003506EE"/>
    <w:rsid w:val="00362381"/>
    <w:rsid w:val="00381BEF"/>
    <w:rsid w:val="0038356B"/>
    <w:rsid w:val="003842F3"/>
    <w:rsid w:val="00385534"/>
    <w:rsid w:val="00385F2F"/>
    <w:rsid w:val="003A5F51"/>
    <w:rsid w:val="003C2911"/>
    <w:rsid w:val="003C2BFF"/>
    <w:rsid w:val="003D473A"/>
    <w:rsid w:val="004100C4"/>
    <w:rsid w:val="00416C18"/>
    <w:rsid w:val="00461AA5"/>
    <w:rsid w:val="00473674"/>
    <w:rsid w:val="004A3C68"/>
    <w:rsid w:val="004B04EB"/>
    <w:rsid w:val="004B5ED4"/>
    <w:rsid w:val="004D385B"/>
    <w:rsid w:val="004D49C1"/>
    <w:rsid w:val="004D4DF1"/>
    <w:rsid w:val="004E0566"/>
    <w:rsid w:val="004F207C"/>
    <w:rsid w:val="005046E4"/>
    <w:rsid w:val="005048ED"/>
    <w:rsid w:val="00507C73"/>
    <w:rsid w:val="00514895"/>
    <w:rsid w:val="0055092F"/>
    <w:rsid w:val="005554D0"/>
    <w:rsid w:val="00571E46"/>
    <w:rsid w:val="0058153F"/>
    <w:rsid w:val="00585752"/>
    <w:rsid w:val="005943B2"/>
    <w:rsid w:val="005A218B"/>
    <w:rsid w:val="005A4A21"/>
    <w:rsid w:val="005A56BD"/>
    <w:rsid w:val="005B0B63"/>
    <w:rsid w:val="005B1D17"/>
    <w:rsid w:val="006472D8"/>
    <w:rsid w:val="00651173"/>
    <w:rsid w:val="00654795"/>
    <w:rsid w:val="0068391B"/>
    <w:rsid w:val="00684B74"/>
    <w:rsid w:val="006B0540"/>
    <w:rsid w:val="006E3C62"/>
    <w:rsid w:val="00706BF3"/>
    <w:rsid w:val="007108A3"/>
    <w:rsid w:val="00711372"/>
    <w:rsid w:val="0074102B"/>
    <w:rsid w:val="007430F7"/>
    <w:rsid w:val="00760331"/>
    <w:rsid w:val="0076110A"/>
    <w:rsid w:val="007B0F11"/>
    <w:rsid w:val="007B6B82"/>
    <w:rsid w:val="007C6ADF"/>
    <w:rsid w:val="007C7A72"/>
    <w:rsid w:val="007D65E6"/>
    <w:rsid w:val="007F4881"/>
    <w:rsid w:val="0081619D"/>
    <w:rsid w:val="00820102"/>
    <w:rsid w:val="00851356"/>
    <w:rsid w:val="00865F7E"/>
    <w:rsid w:val="008721E4"/>
    <w:rsid w:val="00884978"/>
    <w:rsid w:val="00885528"/>
    <w:rsid w:val="0089215F"/>
    <w:rsid w:val="008A5260"/>
    <w:rsid w:val="008A60F2"/>
    <w:rsid w:val="008B1DE3"/>
    <w:rsid w:val="008B6784"/>
    <w:rsid w:val="008D06D7"/>
    <w:rsid w:val="008E12B8"/>
    <w:rsid w:val="008E37C4"/>
    <w:rsid w:val="008E4C11"/>
    <w:rsid w:val="0092010B"/>
    <w:rsid w:val="009424AE"/>
    <w:rsid w:val="00994DD6"/>
    <w:rsid w:val="00995DFC"/>
    <w:rsid w:val="009B5EFA"/>
    <w:rsid w:val="009E209E"/>
    <w:rsid w:val="009F20F1"/>
    <w:rsid w:val="00A13486"/>
    <w:rsid w:val="00A21432"/>
    <w:rsid w:val="00A26492"/>
    <w:rsid w:val="00A3441A"/>
    <w:rsid w:val="00A75593"/>
    <w:rsid w:val="00A8779E"/>
    <w:rsid w:val="00AB628F"/>
    <w:rsid w:val="00AB745E"/>
    <w:rsid w:val="00AC6067"/>
    <w:rsid w:val="00AD5816"/>
    <w:rsid w:val="00B71133"/>
    <w:rsid w:val="00BA163E"/>
    <w:rsid w:val="00BB4A74"/>
    <w:rsid w:val="00BB4BFA"/>
    <w:rsid w:val="00C0338E"/>
    <w:rsid w:val="00C04CCA"/>
    <w:rsid w:val="00C05623"/>
    <w:rsid w:val="00C11D7D"/>
    <w:rsid w:val="00C124C9"/>
    <w:rsid w:val="00C15B52"/>
    <w:rsid w:val="00C61B8B"/>
    <w:rsid w:val="00C6531D"/>
    <w:rsid w:val="00CA4585"/>
    <w:rsid w:val="00CB3D8E"/>
    <w:rsid w:val="00CC46E7"/>
    <w:rsid w:val="00CC613A"/>
    <w:rsid w:val="00CC6BD2"/>
    <w:rsid w:val="00CD1C83"/>
    <w:rsid w:val="00CE5523"/>
    <w:rsid w:val="00D333FD"/>
    <w:rsid w:val="00D364C1"/>
    <w:rsid w:val="00D6057C"/>
    <w:rsid w:val="00D84C1D"/>
    <w:rsid w:val="00D86589"/>
    <w:rsid w:val="00D92703"/>
    <w:rsid w:val="00DB0433"/>
    <w:rsid w:val="00DF6349"/>
    <w:rsid w:val="00E05FF4"/>
    <w:rsid w:val="00E325BA"/>
    <w:rsid w:val="00E63055"/>
    <w:rsid w:val="00EA3CA9"/>
    <w:rsid w:val="00EB117E"/>
    <w:rsid w:val="00EC1171"/>
    <w:rsid w:val="00ED6762"/>
    <w:rsid w:val="00F00237"/>
    <w:rsid w:val="00F03102"/>
    <w:rsid w:val="00F4669E"/>
    <w:rsid w:val="00F5354C"/>
    <w:rsid w:val="00F545B9"/>
    <w:rsid w:val="00F8037D"/>
    <w:rsid w:val="00F92FCB"/>
    <w:rsid w:val="00FA6066"/>
    <w:rsid w:val="00FB1595"/>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C1D"/>
    <w:pPr>
      <w:tabs>
        <w:tab w:val="center" w:pos="4703"/>
        <w:tab w:val="right" w:pos="9406"/>
      </w:tabs>
      <w:spacing w:after="0" w:line="240" w:lineRule="auto"/>
    </w:pPr>
  </w:style>
  <w:style w:type="character" w:customStyle="1" w:styleId="En-tteCar">
    <w:name w:val="En-tête Car"/>
    <w:basedOn w:val="Policepardfaut"/>
    <w:link w:val="En-tte"/>
    <w:uiPriority w:val="99"/>
    <w:rsid w:val="00D84C1D"/>
  </w:style>
  <w:style w:type="paragraph" w:styleId="Pieddepage">
    <w:name w:val="footer"/>
    <w:basedOn w:val="Normal"/>
    <w:link w:val="PieddepageCar"/>
    <w:uiPriority w:val="99"/>
    <w:unhideWhenUsed/>
    <w:rsid w:val="00D84C1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84C1D"/>
  </w:style>
  <w:style w:type="paragraph" w:styleId="Sansinterligne">
    <w:name w:val="No Spacing"/>
    <w:uiPriority w:val="1"/>
    <w:qFormat/>
    <w:rsid w:val="00D84C1D"/>
    <w:pPr>
      <w:spacing w:after="0" w:line="240" w:lineRule="auto"/>
    </w:pPr>
  </w:style>
  <w:style w:type="character" w:styleId="Lienhypertexte">
    <w:name w:val="Hyperlink"/>
    <w:basedOn w:val="Policepardfaut"/>
    <w:uiPriority w:val="99"/>
    <w:unhideWhenUsed/>
    <w:rsid w:val="00D84C1D"/>
    <w:rPr>
      <w:color w:val="0000FF" w:themeColor="hyperlink"/>
      <w:u w:val="single"/>
    </w:rPr>
  </w:style>
  <w:style w:type="paragraph" w:styleId="Textedebulles">
    <w:name w:val="Balloon Text"/>
    <w:basedOn w:val="Normal"/>
    <w:link w:val="TextedebullesCar"/>
    <w:uiPriority w:val="99"/>
    <w:semiHidden/>
    <w:unhideWhenUsed/>
    <w:rsid w:val="00CD1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C83"/>
    <w:rPr>
      <w:rFonts w:ascii="Tahoma" w:hAnsi="Tahoma" w:cs="Tahoma"/>
      <w:sz w:val="16"/>
      <w:szCs w:val="16"/>
    </w:rPr>
  </w:style>
  <w:style w:type="paragraph" w:styleId="NormalWeb">
    <w:name w:val="Normal (Web)"/>
    <w:basedOn w:val="Normal"/>
    <w:uiPriority w:val="99"/>
    <w:semiHidden/>
    <w:unhideWhenUsed/>
    <w:rsid w:val="00112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12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C1D"/>
    <w:pPr>
      <w:tabs>
        <w:tab w:val="center" w:pos="4703"/>
        <w:tab w:val="right" w:pos="9406"/>
      </w:tabs>
      <w:spacing w:after="0" w:line="240" w:lineRule="auto"/>
    </w:pPr>
  </w:style>
  <w:style w:type="character" w:customStyle="1" w:styleId="En-tteCar">
    <w:name w:val="En-tête Car"/>
    <w:basedOn w:val="Policepardfaut"/>
    <w:link w:val="En-tte"/>
    <w:uiPriority w:val="99"/>
    <w:rsid w:val="00D84C1D"/>
  </w:style>
  <w:style w:type="paragraph" w:styleId="Pieddepage">
    <w:name w:val="footer"/>
    <w:basedOn w:val="Normal"/>
    <w:link w:val="PieddepageCar"/>
    <w:uiPriority w:val="99"/>
    <w:unhideWhenUsed/>
    <w:rsid w:val="00D84C1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84C1D"/>
  </w:style>
  <w:style w:type="paragraph" w:styleId="Sansinterligne">
    <w:name w:val="No Spacing"/>
    <w:uiPriority w:val="1"/>
    <w:qFormat/>
    <w:rsid w:val="00D84C1D"/>
    <w:pPr>
      <w:spacing w:after="0" w:line="240" w:lineRule="auto"/>
    </w:pPr>
  </w:style>
  <w:style w:type="character" w:styleId="Lienhypertexte">
    <w:name w:val="Hyperlink"/>
    <w:basedOn w:val="Policepardfaut"/>
    <w:uiPriority w:val="99"/>
    <w:unhideWhenUsed/>
    <w:rsid w:val="00D84C1D"/>
    <w:rPr>
      <w:color w:val="0000FF" w:themeColor="hyperlink"/>
      <w:u w:val="single"/>
    </w:rPr>
  </w:style>
  <w:style w:type="paragraph" w:styleId="Textedebulles">
    <w:name w:val="Balloon Text"/>
    <w:basedOn w:val="Normal"/>
    <w:link w:val="TextedebullesCar"/>
    <w:uiPriority w:val="99"/>
    <w:semiHidden/>
    <w:unhideWhenUsed/>
    <w:rsid w:val="00CD1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C83"/>
    <w:rPr>
      <w:rFonts w:ascii="Tahoma" w:hAnsi="Tahoma" w:cs="Tahoma"/>
      <w:sz w:val="16"/>
      <w:szCs w:val="16"/>
    </w:rPr>
  </w:style>
  <w:style w:type="paragraph" w:styleId="NormalWeb">
    <w:name w:val="Normal (Web)"/>
    <w:basedOn w:val="Normal"/>
    <w:uiPriority w:val="99"/>
    <w:semiHidden/>
    <w:unhideWhenUsed/>
    <w:rsid w:val="00112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1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1672">
      <w:bodyDiv w:val="1"/>
      <w:marLeft w:val="0"/>
      <w:marRight w:val="0"/>
      <w:marTop w:val="0"/>
      <w:marBottom w:val="0"/>
      <w:divBdr>
        <w:top w:val="none" w:sz="0" w:space="0" w:color="auto"/>
        <w:left w:val="none" w:sz="0" w:space="0" w:color="auto"/>
        <w:bottom w:val="none" w:sz="0" w:space="0" w:color="auto"/>
        <w:right w:val="none" w:sz="0" w:space="0" w:color="auto"/>
      </w:divBdr>
    </w:div>
    <w:div w:id="1095707597">
      <w:bodyDiv w:val="1"/>
      <w:marLeft w:val="0"/>
      <w:marRight w:val="0"/>
      <w:marTop w:val="0"/>
      <w:marBottom w:val="0"/>
      <w:divBdr>
        <w:top w:val="none" w:sz="0" w:space="0" w:color="auto"/>
        <w:left w:val="none" w:sz="0" w:space="0" w:color="auto"/>
        <w:bottom w:val="none" w:sz="0" w:space="0" w:color="auto"/>
        <w:right w:val="none" w:sz="0" w:space="0" w:color="auto"/>
      </w:divBdr>
    </w:div>
    <w:div w:id="1613124672">
      <w:bodyDiv w:val="1"/>
      <w:marLeft w:val="0"/>
      <w:marRight w:val="0"/>
      <w:marTop w:val="0"/>
      <w:marBottom w:val="0"/>
      <w:divBdr>
        <w:top w:val="none" w:sz="0" w:space="0" w:color="auto"/>
        <w:left w:val="none" w:sz="0" w:space="0" w:color="auto"/>
        <w:bottom w:val="none" w:sz="0" w:space="0" w:color="auto"/>
        <w:right w:val="none" w:sz="0" w:space="0" w:color="auto"/>
      </w:divBdr>
    </w:div>
    <w:div w:id="18686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ext_msdfrance_fr/jobdetail.ftl?job=BUS00166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AE0CD7D5-028E-4168-9E26-06E80DC6C1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2016-05-12T15:11:00Z</dcterms:created>
  <dcterms:modified xsi:type="dcterms:W3CDTF">2016-05-12T15:11:00Z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671c1289-ba98-413d-a8e8-262bd7927674</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Interne-Proprietary</vt:lpwstr>
  </property>
  <property fmtid="{D5CDD505-2E9C-101B-9397-08002B2CF9AE}" pid="7" name="MerckMetadataExchange">
    <vt:lpwstr>!$MRK@Proprietary-Footer-Left</vt:lpwstr>
  </property>
  <property fmtid="{D5CDD505-2E9C-101B-9397-08002B2CF9AE}" pid="8" name="_AdHocReviewCycleID">
    <vt:i4>346774502</vt:i4>
  </property>
  <property fmtid="{D5CDD505-2E9C-101B-9397-08002B2CF9AE}" pid="9" name="_NewReviewCycle">
    <vt:lpwstr/>
  </property>
  <property fmtid="{D5CDD505-2E9C-101B-9397-08002B2CF9AE}" pid="10" name="_EmailSubject">
    <vt:lpwstr>Diffusion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