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0E" w:rsidRDefault="00C5710E" w:rsidP="00C5710E">
      <w:pPr>
        <w:pStyle w:val="NormalWeb"/>
        <w:jc w:val="center"/>
        <w:rPr>
          <w:rFonts w:ascii="ralewayregular" w:hAnsi="ralewayregular" w:cs="Arial"/>
        </w:rPr>
      </w:pPr>
      <w:proofErr w:type="spellStart"/>
      <w:r>
        <w:rPr>
          <w:rFonts w:ascii="ralewayregular" w:hAnsi="ralewayregular" w:cs="Arial"/>
        </w:rPr>
        <w:t>Boehringer</w:t>
      </w:r>
      <w:proofErr w:type="spellEnd"/>
      <w:r>
        <w:rPr>
          <w:rFonts w:ascii="ralewayregular" w:hAnsi="ralewayregular" w:cs="Arial"/>
        </w:rPr>
        <w:t xml:space="preserve"> </w:t>
      </w:r>
      <w:proofErr w:type="spellStart"/>
      <w:r>
        <w:rPr>
          <w:rFonts w:ascii="ralewayregular" w:hAnsi="ralewayregular" w:cs="Arial"/>
        </w:rPr>
        <w:t>Ingelheim</w:t>
      </w:r>
      <w:proofErr w:type="spellEnd"/>
      <w:r>
        <w:rPr>
          <w:rFonts w:ascii="ralewayregular" w:hAnsi="ralewayregular" w:cs="Arial"/>
        </w:rPr>
        <w:t xml:space="preserve"> est un employeur mondial où les valeurs de diversité et d’intégration sont au cœur de notre culture d’entreprise. Nous sommes convaincus des bénéfices apportés par la diversité et favorisons un environnement propice à nos employés, patients, associations. Tous nos recrutements se basent sur cet engagement.</w:t>
      </w:r>
    </w:p>
    <w:p w:rsidR="00C5710E" w:rsidRDefault="00C5710E" w:rsidP="00C5710E">
      <w:pPr>
        <w:pStyle w:val="NormalWeb"/>
        <w:jc w:val="center"/>
        <w:rPr>
          <w:rFonts w:ascii="ralewayregular" w:hAnsi="ralewayregular" w:cs="Arial"/>
        </w:rPr>
      </w:pPr>
      <w:r>
        <w:rPr>
          <w:rFonts w:ascii="ralewayregular" w:hAnsi="ralewayregular" w:cs="Arial"/>
        </w:rPr>
        <w:t>Les Opérations Commerciales France recherchent pour son département Qualité &amp; Réglementaire un Responsable Pharmacovigilance.</w:t>
      </w:r>
    </w:p>
    <w:p w:rsidR="00BB1100" w:rsidRDefault="00BB1100" w:rsidP="00C5710E">
      <w:pPr>
        <w:pStyle w:val="NormalWeb"/>
        <w:jc w:val="center"/>
        <w:rPr>
          <w:rFonts w:ascii="ralewayregular" w:hAnsi="ralewayregular" w:cs="Arial"/>
        </w:rPr>
      </w:pPr>
      <w:r>
        <w:rPr>
          <w:rFonts w:ascii="ralewayregular" w:hAnsi="ralewayregular" w:cs="Arial"/>
        </w:rPr>
        <w:t>Le poste est à pourvoir à Lyon (69).</w:t>
      </w:r>
      <w:bookmarkStart w:id="0" w:name="_GoBack"/>
      <w:bookmarkEnd w:id="0"/>
    </w:p>
    <w:p w:rsidR="00C5710E" w:rsidRDefault="00C5710E" w:rsidP="00C5710E">
      <w:pPr>
        <w:pStyle w:val="NormalWeb"/>
        <w:rPr>
          <w:rStyle w:val="lev"/>
          <w:rFonts w:ascii="ralewayregular" w:hAnsi="ralewayregular" w:cs="Arial"/>
        </w:rPr>
      </w:pPr>
    </w:p>
    <w:p w:rsidR="00C5710E" w:rsidRDefault="00C5710E" w:rsidP="00C5710E">
      <w:pPr>
        <w:pStyle w:val="NormalWeb"/>
        <w:rPr>
          <w:rFonts w:ascii="ralewayregular" w:hAnsi="ralewayregular" w:cs="Arial"/>
        </w:rPr>
      </w:pPr>
      <w:r>
        <w:rPr>
          <w:rStyle w:val="lev"/>
          <w:rFonts w:ascii="ralewayregular" w:hAnsi="ralewayregular" w:cs="Arial"/>
        </w:rPr>
        <w:t xml:space="preserve">1. Gestion des évènements indésirables </w:t>
      </w:r>
      <w:r>
        <w:rPr>
          <w:rFonts w:ascii="ralewayregular" w:hAnsi="ralewayregular" w:cs="Arial"/>
        </w:rPr>
        <w:t>:</w:t>
      </w:r>
    </w:p>
    <w:p w:rsidR="00C5710E" w:rsidRDefault="00C5710E" w:rsidP="00C5710E">
      <w:pPr>
        <w:pStyle w:val="NormalWeb"/>
        <w:rPr>
          <w:rFonts w:ascii="ralewayregular" w:hAnsi="ralewayregular" w:cs="Arial"/>
        </w:rPr>
      </w:pPr>
      <w:r>
        <w:rPr>
          <w:rFonts w:ascii="ralewayregular" w:hAnsi="ralewayregular" w:cs="Arial"/>
        </w:rPr>
        <w:t>Enregistrer les rapports d'Evénements Indésirables (EI) dans la base de données de PV globale dans les délais impartis si nécessaire.</w:t>
      </w:r>
    </w:p>
    <w:p w:rsidR="00C5710E" w:rsidRDefault="00C5710E" w:rsidP="00C5710E">
      <w:pPr>
        <w:pStyle w:val="NormalWeb"/>
        <w:rPr>
          <w:rFonts w:ascii="ralewayregular" w:hAnsi="ralewayregular" w:cs="Arial"/>
        </w:rPr>
      </w:pPr>
      <w:r>
        <w:rPr>
          <w:rFonts w:ascii="ralewayregular" w:hAnsi="ralewayregular" w:cs="Arial"/>
        </w:rPr>
        <w:t>Contrôler et valider les cas entrés par le Coordinateur PV ou les collaborateurs extérieurs au Service.</w:t>
      </w:r>
    </w:p>
    <w:p w:rsidR="00C5710E" w:rsidRDefault="00C5710E" w:rsidP="00C5710E">
      <w:pPr>
        <w:pStyle w:val="NormalWeb"/>
        <w:rPr>
          <w:rFonts w:ascii="ralewayregular" w:hAnsi="ralewayregular" w:cs="Arial"/>
        </w:rPr>
      </w:pPr>
      <w:r>
        <w:rPr>
          <w:rFonts w:ascii="ralewayregular" w:hAnsi="ralewayregular" w:cs="Arial"/>
        </w:rPr>
        <w:t>Evaluer, valider et soumettre aux autorités compétentes les EI à temps.</w:t>
      </w:r>
    </w:p>
    <w:p w:rsidR="00C5710E" w:rsidRDefault="00C5710E" w:rsidP="00C5710E">
      <w:pPr>
        <w:pStyle w:val="NormalWeb"/>
        <w:rPr>
          <w:rFonts w:ascii="ralewayregular" w:hAnsi="ralewayregular" w:cs="Arial"/>
        </w:rPr>
      </w:pPr>
      <w:r>
        <w:rPr>
          <w:rFonts w:ascii="ralewayregular" w:hAnsi="ralewayregular" w:cs="Arial"/>
        </w:rPr>
        <w:t>Gérer les cas dupliqués France et les cas importés France dans la base globale.</w:t>
      </w:r>
    </w:p>
    <w:p w:rsidR="00C5710E" w:rsidRDefault="00C5710E" w:rsidP="00C5710E">
      <w:pPr>
        <w:pStyle w:val="NormalWeb"/>
        <w:rPr>
          <w:rFonts w:ascii="ralewayregular" w:hAnsi="ralewayregular" w:cs="Arial"/>
        </w:rPr>
      </w:pPr>
      <w:r>
        <w:rPr>
          <w:rFonts w:ascii="ralewayregular" w:hAnsi="ralewayregular" w:cs="Arial"/>
        </w:rPr>
        <w:t>Assurer l'exactitude, l'intégralité et la fiabilité des informations PV (Assurance Qualité).</w:t>
      </w:r>
    </w:p>
    <w:p w:rsidR="00C5710E" w:rsidRDefault="00C5710E" w:rsidP="00C5710E">
      <w:pPr>
        <w:pStyle w:val="NormalWeb"/>
        <w:rPr>
          <w:rFonts w:ascii="ralewayregular" w:hAnsi="ralewayregular" w:cs="Arial"/>
        </w:rPr>
      </w:pPr>
      <w:r>
        <w:rPr>
          <w:rFonts w:ascii="ralewayregular" w:hAnsi="ralewayregular" w:cs="Arial"/>
        </w:rPr>
        <w:t>Surveiller et améliorer le système de collecte et de déclaration des EI.</w:t>
      </w:r>
    </w:p>
    <w:p w:rsidR="00C5710E" w:rsidRDefault="00C5710E" w:rsidP="00C5710E">
      <w:pPr>
        <w:pStyle w:val="NormalWeb"/>
        <w:rPr>
          <w:rFonts w:ascii="ralewayregular" w:hAnsi="ralewayregular" w:cs="Arial"/>
        </w:rPr>
      </w:pPr>
      <w:r>
        <w:rPr>
          <w:rStyle w:val="lev"/>
          <w:rFonts w:ascii="ralewayregular" w:hAnsi="ralewayregular" w:cs="Arial"/>
        </w:rPr>
        <w:t>2. Gestion des rapports réglementaires de PV:</w:t>
      </w:r>
    </w:p>
    <w:p w:rsidR="00C5710E" w:rsidRDefault="00C5710E" w:rsidP="00C5710E">
      <w:pPr>
        <w:pStyle w:val="NormalWeb"/>
        <w:rPr>
          <w:rFonts w:ascii="ralewayregular" w:hAnsi="ralewayregular" w:cs="Arial"/>
        </w:rPr>
      </w:pPr>
      <w:r>
        <w:rPr>
          <w:rFonts w:ascii="ralewayregular" w:hAnsi="ralewayregular" w:cs="Arial"/>
        </w:rPr>
        <w:t>Préparer/finaliser les rapports réglementaires de pharmacovigilance (</w:t>
      </w:r>
      <w:proofErr w:type="spellStart"/>
      <w:r>
        <w:rPr>
          <w:rFonts w:ascii="ralewayregular" w:hAnsi="ralewayregular" w:cs="Arial"/>
        </w:rPr>
        <w:t>PSURs</w:t>
      </w:r>
      <w:proofErr w:type="spellEnd"/>
      <w:r>
        <w:rPr>
          <w:rFonts w:ascii="ralewayregular" w:hAnsi="ralewayregular" w:cs="Arial"/>
        </w:rPr>
        <w:t xml:space="preserve">, SBR et </w:t>
      </w:r>
      <w:proofErr w:type="spellStart"/>
      <w:r>
        <w:rPr>
          <w:rFonts w:ascii="ralewayregular" w:hAnsi="ralewayregular" w:cs="Arial"/>
        </w:rPr>
        <w:t>AdR</w:t>
      </w:r>
      <w:proofErr w:type="spellEnd"/>
      <w:r>
        <w:rPr>
          <w:rFonts w:ascii="ralewayregular" w:hAnsi="ralewayregular" w:cs="Arial"/>
        </w:rPr>
        <w:t>) pour les produits France. Ceci inclut l’analyse et l’interprétation  des données préparées.</w:t>
      </w:r>
    </w:p>
    <w:p w:rsidR="00C5710E" w:rsidRDefault="00C5710E" w:rsidP="00C5710E">
      <w:pPr>
        <w:pStyle w:val="NormalWeb"/>
        <w:rPr>
          <w:rFonts w:ascii="ralewayregular" w:hAnsi="ralewayregular" w:cs="Arial"/>
        </w:rPr>
      </w:pPr>
      <w:r>
        <w:rPr>
          <w:rFonts w:ascii="ralewayregular" w:hAnsi="ralewayregular" w:cs="Arial"/>
        </w:rPr>
        <w:t xml:space="preserve">Contrôler et préparer les rapports réglementaires de PV reçus du </w:t>
      </w:r>
      <w:proofErr w:type="spellStart"/>
      <w:r>
        <w:rPr>
          <w:rFonts w:ascii="ralewayregular" w:hAnsi="ralewayregular" w:cs="Arial"/>
        </w:rPr>
        <w:t>Corporate</w:t>
      </w:r>
      <w:proofErr w:type="spellEnd"/>
      <w:r>
        <w:rPr>
          <w:rFonts w:ascii="ralewayregular" w:hAnsi="ralewayregular" w:cs="Arial"/>
        </w:rPr>
        <w:t>.</w:t>
      </w:r>
    </w:p>
    <w:p w:rsidR="00C5710E" w:rsidRDefault="00C5710E" w:rsidP="00C5710E">
      <w:pPr>
        <w:pStyle w:val="NormalWeb"/>
        <w:rPr>
          <w:rFonts w:ascii="ralewayregular" w:hAnsi="ralewayregular" w:cs="Arial"/>
        </w:rPr>
      </w:pPr>
      <w:r>
        <w:rPr>
          <w:rFonts w:ascii="ralewayregular" w:hAnsi="ralewayregular" w:cs="Arial"/>
        </w:rPr>
        <w:t xml:space="preserve">Soumettre les rapports réglementaires de PV France et </w:t>
      </w:r>
      <w:proofErr w:type="spellStart"/>
      <w:r>
        <w:rPr>
          <w:rFonts w:ascii="ralewayregular" w:hAnsi="ralewayregular" w:cs="Arial"/>
        </w:rPr>
        <w:t>Corporate</w:t>
      </w:r>
      <w:proofErr w:type="spellEnd"/>
      <w:r>
        <w:rPr>
          <w:rFonts w:ascii="ralewayregular" w:hAnsi="ralewayregular" w:cs="Arial"/>
        </w:rPr>
        <w:t xml:space="preserve"> à temps</w:t>
      </w:r>
    </w:p>
    <w:p w:rsidR="00C5710E" w:rsidRDefault="00C5710E" w:rsidP="00C5710E">
      <w:pPr>
        <w:pStyle w:val="NormalWeb"/>
        <w:rPr>
          <w:rFonts w:ascii="ralewayregular" w:hAnsi="ralewayregular" w:cs="Arial"/>
        </w:rPr>
      </w:pPr>
      <w:r>
        <w:rPr>
          <w:rFonts w:ascii="ralewayregular" w:hAnsi="ralewayregular" w:cs="Arial"/>
        </w:rPr>
        <w:t>Rédiger les réponses aux questions des autorités et les soumet à temps.</w:t>
      </w:r>
    </w:p>
    <w:p w:rsidR="00C5710E" w:rsidRDefault="00C5710E" w:rsidP="00C5710E">
      <w:pPr>
        <w:pStyle w:val="NormalWeb"/>
        <w:rPr>
          <w:rFonts w:ascii="ralewayregular" w:hAnsi="ralewayregular" w:cs="Arial"/>
        </w:rPr>
      </w:pPr>
      <w:r>
        <w:rPr>
          <w:rStyle w:val="lev"/>
          <w:rFonts w:ascii="ralewayregular" w:hAnsi="ralewayregular" w:cs="Arial"/>
        </w:rPr>
        <w:t>3. Surveillance du bénéfice / risque des produits</w:t>
      </w:r>
      <w:r>
        <w:rPr>
          <w:rFonts w:ascii="ralewayregular" w:hAnsi="ralewayregular" w:cs="Arial"/>
        </w:rPr>
        <w:t xml:space="preserve"> :</w:t>
      </w:r>
    </w:p>
    <w:p w:rsidR="00C5710E" w:rsidRDefault="00C5710E" w:rsidP="00C5710E">
      <w:pPr>
        <w:pStyle w:val="NormalWeb"/>
        <w:rPr>
          <w:rFonts w:ascii="ralewayregular" w:hAnsi="ralewayregular" w:cs="Arial"/>
        </w:rPr>
      </w:pPr>
      <w:r>
        <w:rPr>
          <w:rFonts w:ascii="ralewayregular" w:hAnsi="ralewayregular" w:cs="Arial"/>
        </w:rPr>
        <w:t>Surveiller le bénéfice/risque des produits, et plus particulièrement des nouveaux produits mis sur le marché</w:t>
      </w:r>
    </w:p>
    <w:p w:rsidR="00C5710E" w:rsidRDefault="00C5710E" w:rsidP="00C5710E">
      <w:pPr>
        <w:pStyle w:val="NormalWeb"/>
        <w:rPr>
          <w:rFonts w:ascii="ralewayregular" w:hAnsi="ralewayregular" w:cs="Arial"/>
        </w:rPr>
      </w:pPr>
      <w:r>
        <w:rPr>
          <w:rFonts w:ascii="ralewayregular" w:hAnsi="ralewayregular" w:cs="Arial"/>
        </w:rPr>
        <w:t>Participer à la rédaction de rapports internes (revue annuelle).</w:t>
      </w:r>
    </w:p>
    <w:p w:rsidR="00C5710E" w:rsidRDefault="00C5710E" w:rsidP="00C5710E">
      <w:pPr>
        <w:pStyle w:val="NormalWeb"/>
        <w:rPr>
          <w:rFonts w:ascii="ralewayregular" w:hAnsi="ralewayregular" w:cs="Arial"/>
        </w:rPr>
      </w:pPr>
      <w:r>
        <w:rPr>
          <w:rStyle w:val="lev"/>
          <w:rFonts w:ascii="ralewayregular" w:hAnsi="ralewayregular" w:cs="Arial"/>
        </w:rPr>
        <w:t>4. Formation :</w:t>
      </w:r>
    </w:p>
    <w:p w:rsidR="00C5710E" w:rsidRDefault="00C5710E" w:rsidP="00C5710E">
      <w:pPr>
        <w:pStyle w:val="NormalWeb"/>
        <w:rPr>
          <w:rFonts w:ascii="ralewayregular" w:hAnsi="ralewayregular" w:cs="Arial"/>
        </w:rPr>
      </w:pPr>
      <w:r>
        <w:rPr>
          <w:rFonts w:ascii="ralewayregular" w:hAnsi="ralewayregular" w:cs="Arial"/>
        </w:rPr>
        <w:t>Assurer la formation initiale et continue des collaborateurs de BI France, principalement de la force de vente et des équipes techniques.</w:t>
      </w:r>
    </w:p>
    <w:p w:rsidR="00C5710E" w:rsidRDefault="00C5710E" w:rsidP="00C5710E">
      <w:pPr>
        <w:pStyle w:val="NormalWeb"/>
        <w:rPr>
          <w:rFonts w:ascii="ralewayregular" w:hAnsi="ralewayregular" w:cs="Arial"/>
        </w:rPr>
      </w:pPr>
      <w:r>
        <w:rPr>
          <w:rFonts w:ascii="ralewayregular" w:hAnsi="ralewayregular" w:cs="Arial"/>
        </w:rPr>
        <w:t>Présenter les données de PV sur demande lors de réunion des équipes BI France.</w:t>
      </w:r>
    </w:p>
    <w:p w:rsidR="00C5710E" w:rsidRDefault="00C5710E" w:rsidP="00C5710E">
      <w:pPr>
        <w:pStyle w:val="NormalWeb"/>
        <w:rPr>
          <w:rFonts w:ascii="ralewayregular" w:hAnsi="ralewayregular" w:cs="Arial"/>
        </w:rPr>
      </w:pPr>
      <w:r>
        <w:rPr>
          <w:rStyle w:val="lev"/>
          <w:rFonts w:ascii="ralewayregular" w:hAnsi="ralewayregular" w:cs="Arial"/>
        </w:rPr>
        <w:lastRenderedPageBreak/>
        <w:t xml:space="preserve">5. Autorités locales, veille règlementaire et </w:t>
      </w:r>
      <w:proofErr w:type="spellStart"/>
      <w:r>
        <w:rPr>
          <w:rStyle w:val="lev"/>
          <w:rFonts w:ascii="ralewayregular" w:hAnsi="ralewayregular" w:cs="Arial"/>
        </w:rPr>
        <w:t>concurentielle</w:t>
      </w:r>
      <w:proofErr w:type="spellEnd"/>
      <w:r>
        <w:rPr>
          <w:rStyle w:val="lev"/>
          <w:rFonts w:ascii="ralewayregular" w:hAnsi="ralewayregular" w:cs="Arial"/>
        </w:rPr>
        <w:t xml:space="preserve"> </w:t>
      </w:r>
      <w:r>
        <w:rPr>
          <w:rFonts w:ascii="ralewayregular" w:hAnsi="ralewayregular" w:cs="Arial"/>
        </w:rPr>
        <w:t>:</w:t>
      </w:r>
    </w:p>
    <w:p w:rsidR="00C5710E" w:rsidRDefault="00C5710E" w:rsidP="00C5710E">
      <w:pPr>
        <w:pStyle w:val="NormalWeb"/>
        <w:rPr>
          <w:rFonts w:ascii="ralewayregular" w:hAnsi="ralewayregular" w:cs="Arial"/>
        </w:rPr>
      </w:pPr>
      <w:r>
        <w:rPr>
          <w:rFonts w:ascii="ralewayregular" w:hAnsi="ralewayregular" w:cs="Arial"/>
        </w:rPr>
        <w:t>Etre en contact avec les autorités pour les questions liées aux EI et aux </w:t>
      </w:r>
      <w:proofErr w:type="spellStart"/>
      <w:r>
        <w:rPr>
          <w:rFonts w:ascii="ralewayregular" w:hAnsi="ralewayregular" w:cs="Arial"/>
        </w:rPr>
        <w:t>PSURs</w:t>
      </w:r>
      <w:proofErr w:type="spellEnd"/>
    </w:p>
    <w:p w:rsidR="00C5710E" w:rsidRDefault="00C5710E" w:rsidP="00C5710E">
      <w:pPr>
        <w:pStyle w:val="NormalWeb"/>
        <w:rPr>
          <w:rFonts w:ascii="ralewayregular" w:hAnsi="ralewayregular" w:cs="Arial"/>
        </w:rPr>
      </w:pPr>
      <w:r>
        <w:rPr>
          <w:rFonts w:ascii="ralewayregular" w:hAnsi="ralewayregular" w:cs="Arial"/>
        </w:rPr>
        <w:t>Participer à la veille réglementaire et concurrentielle des activités gérées par le service</w:t>
      </w:r>
    </w:p>
    <w:p w:rsidR="00C5710E" w:rsidRPr="00C5710E" w:rsidRDefault="00C5710E" w:rsidP="00C5710E">
      <w:pPr>
        <w:pStyle w:val="NormalWeb"/>
        <w:rPr>
          <w:rFonts w:ascii="ralewayregular" w:hAnsi="ralewayregular" w:cs="Arial"/>
          <w:i/>
          <w:iCs/>
        </w:rPr>
      </w:pPr>
      <w:r w:rsidRPr="00C5710E">
        <w:rPr>
          <w:rFonts w:ascii="ralewayregular" w:hAnsi="ralewayregular" w:cs="Arial"/>
          <w:i/>
          <w:iCs/>
        </w:rPr>
        <w:t>Autres exigences règlementaires :</w:t>
      </w:r>
    </w:p>
    <w:p w:rsidR="00C5710E" w:rsidRDefault="00C5710E" w:rsidP="00C5710E">
      <w:pPr>
        <w:pStyle w:val="NormalWeb"/>
        <w:rPr>
          <w:rFonts w:ascii="ralewayregular" w:hAnsi="ralewayregular" w:cs="Arial"/>
        </w:rPr>
      </w:pPr>
      <w:r>
        <w:rPr>
          <w:rFonts w:ascii="ralewayregular" w:hAnsi="ralewayregular" w:cs="Arial"/>
        </w:rPr>
        <w:t>S’assurer du respect de la réglementation inscrite dans les textes réglementaires européens et français, plus particulièrement  le code de la Santé Publique et les référentiels de Bonnes Pratiques (Pharmacovigilance, Distribution). S’aligner avec les règles de PV établies par BI.  </w:t>
      </w:r>
    </w:p>
    <w:p w:rsidR="00C5710E" w:rsidRDefault="00C5710E" w:rsidP="00C5710E">
      <w:pPr>
        <w:pStyle w:val="NormalWeb"/>
        <w:rPr>
          <w:rFonts w:ascii="ralewayregular" w:hAnsi="ralewayregular" w:cs="Arial"/>
        </w:rPr>
      </w:pPr>
      <w:r>
        <w:rPr>
          <w:rStyle w:val="lev"/>
          <w:rFonts w:ascii="ralewayregular" w:hAnsi="ralewayregular" w:cs="Arial"/>
        </w:rPr>
        <w:t>Profil du candidat </w:t>
      </w:r>
    </w:p>
    <w:p w:rsidR="00C5710E" w:rsidRPr="00C5710E" w:rsidRDefault="00C5710E" w:rsidP="00C5710E">
      <w:pPr>
        <w:pStyle w:val="NormalWeb"/>
        <w:rPr>
          <w:rFonts w:ascii="ralewayregular" w:hAnsi="ralewayregular" w:cs="Arial"/>
          <w:i/>
          <w:iCs/>
        </w:rPr>
      </w:pPr>
      <w:r w:rsidRPr="00C5710E">
        <w:rPr>
          <w:rFonts w:ascii="ralewayregular" w:hAnsi="ralewayregular" w:cs="Arial"/>
          <w:i/>
          <w:iCs/>
        </w:rPr>
        <w:t>Formation :</w:t>
      </w:r>
    </w:p>
    <w:p w:rsidR="00C5710E" w:rsidRDefault="00C5710E" w:rsidP="00C5710E">
      <w:pPr>
        <w:pStyle w:val="NormalWeb"/>
        <w:rPr>
          <w:rFonts w:ascii="ralewayregular" w:hAnsi="ralewayregular" w:cs="Arial"/>
        </w:rPr>
      </w:pPr>
      <w:r>
        <w:rPr>
          <w:rFonts w:ascii="ralewayregular" w:hAnsi="ralewayregular" w:cs="Arial"/>
        </w:rPr>
        <w:t>Docteur Vétérinaire - spécialisation pharmacovigilance </w:t>
      </w:r>
    </w:p>
    <w:p w:rsidR="00C5710E" w:rsidRPr="00C5710E" w:rsidRDefault="00C5710E" w:rsidP="00C5710E">
      <w:pPr>
        <w:pStyle w:val="NormalWeb"/>
        <w:rPr>
          <w:rFonts w:ascii="ralewayregular" w:hAnsi="ralewayregular" w:cs="Arial"/>
          <w:i/>
          <w:iCs/>
        </w:rPr>
      </w:pPr>
      <w:r w:rsidRPr="00C5710E">
        <w:rPr>
          <w:rFonts w:ascii="ralewayregular" w:hAnsi="ralewayregular" w:cs="Arial"/>
          <w:i/>
          <w:iCs/>
        </w:rPr>
        <w:t>Capacités requises :</w:t>
      </w:r>
    </w:p>
    <w:p w:rsidR="00C5710E" w:rsidRDefault="00C5710E" w:rsidP="00C5710E">
      <w:pPr>
        <w:pStyle w:val="NormalWeb"/>
        <w:rPr>
          <w:rFonts w:ascii="ralewayregular" w:hAnsi="ralewayregular" w:cs="Arial"/>
        </w:rPr>
      </w:pPr>
      <w:r>
        <w:rPr>
          <w:rFonts w:ascii="ralewayregular" w:hAnsi="ralewayregular" w:cs="Arial"/>
        </w:rPr>
        <w:t>Anglais courant</w:t>
      </w:r>
    </w:p>
    <w:p w:rsidR="00C5710E" w:rsidRDefault="00C5710E" w:rsidP="00C5710E">
      <w:pPr>
        <w:pStyle w:val="NormalWeb"/>
        <w:rPr>
          <w:rFonts w:ascii="ralewayregular" w:hAnsi="ralewayregular" w:cs="Arial"/>
        </w:rPr>
      </w:pPr>
      <w:r>
        <w:rPr>
          <w:rFonts w:ascii="ralewayregular" w:hAnsi="ralewayregular" w:cs="Arial"/>
        </w:rPr>
        <w:t>Un minimum de 1 an d’expérience en clientèle vétérinaire et de 2 ans dans l’industrie pharmaceutique vétérinaire</w:t>
      </w:r>
    </w:p>
    <w:p w:rsidR="00C5710E" w:rsidRDefault="00C5710E" w:rsidP="00C5710E">
      <w:pPr>
        <w:pStyle w:val="NormalWeb"/>
        <w:rPr>
          <w:rFonts w:ascii="ralewayregular" w:hAnsi="ralewayregular" w:cs="Arial"/>
        </w:rPr>
      </w:pPr>
      <w:r>
        <w:rPr>
          <w:rFonts w:ascii="ralewayregular" w:hAnsi="ralewayregular" w:cs="Arial"/>
        </w:rPr>
        <w:t>Expérience en pharmacovigilance</w:t>
      </w:r>
    </w:p>
    <w:p w:rsidR="00C5710E" w:rsidRDefault="00C5710E" w:rsidP="00C5710E">
      <w:pPr>
        <w:pStyle w:val="NormalWeb"/>
        <w:rPr>
          <w:rFonts w:ascii="ralewayregular" w:hAnsi="ralewayregular" w:cs="Arial"/>
        </w:rPr>
      </w:pPr>
      <w:r>
        <w:rPr>
          <w:rFonts w:ascii="ralewayregular" w:hAnsi="ralewayregular" w:cs="Arial"/>
        </w:rPr>
        <w:t>Compétences en communications, très bonne organisation personnelle et gestion des priorités, esprit d’équipe</w:t>
      </w:r>
      <w:r>
        <w:rPr>
          <w:rFonts w:ascii="ralewayregular" w:hAnsi="ralewayregular" w:cs="Arial"/>
        </w:rPr>
        <w:t xml:space="preserve">. </w:t>
      </w:r>
      <w:r>
        <w:rPr>
          <w:rFonts w:ascii="ralewayregular" w:hAnsi="ralewayregular" w:cs="Arial"/>
        </w:rPr>
        <w:t>Autonomie et proactivité, orientation client.</w:t>
      </w:r>
      <w:r>
        <w:rPr>
          <w:rFonts w:ascii="ralewayregular" w:hAnsi="ralewayregular" w:cs="Arial"/>
        </w:rPr>
        <w:t xml:space="preserve"> </w:t>
      </w:r>
      <w:r>
        <w:rPr>
          <w:rFonts w:ascii="ralewayregular" w:hAnsi="ralewayregular" w:cs="Arial"/>
        </w:rPr>
        <w:t>Rigueur et sens du détail.</w:t>
      </w:r>
    </w:p>
    <w:p w:rsidR="00C5710E" w:rsidRPr="00C5710E" w:rsidRDefault="00C5710E" w:rsidP="00C5710E">
      <w:pPr>
        <w:pStyle w:val="NormalWeb"/>
        <w:rPr>
          <w:rFonts w:ascii="ralewayregular" w:hAnsi="ralewayregular" w:cs="Arial"/>
          <w:i/>
          <w:iCs/>
        </w:rPr>
      </w:pPr>
      <w:r w:rsidRPr="00C5710E">
        <w:rPr>
          <w:rFonts w:ascii="ralewayregular" w:hAnsi="ralewayregular" w:cs="Arial"/>
          <w:i/>
          <w:iCs/>
        </w:rPr>
        <w:t>Savoir-faire :</w:t>
      </w:r>
    </w:p>
    <w:p w:rsidR="00C5710E" w:rsidRDefault="00C5710E" w:rsidP="00C5710E">
      <w:pPr>
        <w:pStyle w:val="NormalWeb"/>
        <w:rPr>
          <w:rFonts w:ascii="ralewayregular" w:hAnsi="ralewayregular" w:cs="Arial"/>
        </w:rPr>
      </w:pPr>
      <w:r>
        <w:rPr>
          <w:rFonts w:ascii="ralewayregular" w:hAnsi="ralewayregular" w:cs="Arial"/>
        </w:rPr>
        <w:t>Avoir une connaissance de base des environnements réglementaires et légaux nationaux et européens de l’activité d’exploitant pharmaceutique vétérinaire (Code la Santé Publique, Bonnes Pratiques, lignes directrices nationales et internationales).</w:t>
      </w:r>
    </w:p>
    <w:p w:rsidR="00C5710E" w:rsidRDefault="00C5710E" w:rsidP="00C5710E">
      <w:pPr>
        <w:pStyle w:val="NormalWeb"/>
        <w:rPr>
          <w:rFonts w:ascii="ralewayregular" w:hAnsi="ralewayregular" w:cs="Arial"/>
        </w:rPr>
      </w:pPr>
      <w:r>
        <w:rPr>
          <w:rFonts w:ascii="ralewayregular" w:hAnsi="ralewayregular" w:cs="Arial"/>
        </w:rPr>
        <w:t>Capacité à rédiger Capacité d’analyse et de synthèse</w:t>
      </w:r>
    </w:p>
    <w:p w:rsidR="00C5710E" w:rsidRDefault="00C5710E" w:rsidP="00C5710E">
      <w:pPr>
        <w:pStyle w:val="NormalWeb"/>
        <w:rPr>
          <w:rFonts w:ascii="ralewayregular" w:hAnsi="ralewayregular" w:cs="Arial"/>
        </w:rPr>
      </w:pPr>
      <w:r>
        <w:rPr>
          <w:rFonts w:ascii="ralewayregular" w:hAnsi="ralewayregular" w:cs="Arial"/>
        </w:rPr>
        <w:t>Maitrise des outils informatiques et bureautique. </w:t>
      </w:r>
    </w:p>
    <w:p w:rsidR="00C5710E" w:rsidRDefault="00C5710E" w:rsidP="00C5710E">
      <w:pPr>
        <w:pStyle w:val="NormalWeb"/>
        <w:jc w:val="center"/>
        <w:rPr>
          <w:rFonts w:ascii="ralewayregular" w:hAnsi="ralewayregular" w:cs="Arial"/>
        </w:rPr>
      </w:pPr>
      <w:r>
        <w:rPr>
          <w:rFonts w:ascii="ralewayregular" w:hAnsi="ralewayregular" w:cs="Arial"/>
        </w:rPr>
        <w:t>Vous vous reconnaissez dans le modèle de compétences AAI: Responsabilité (</w:t>
      </w:r>
      <w:proofErr w:type="spellStart"/>
      <w:r>
        <w:rPr>
          <w:rFonts w:ascii="ralewayregular" w:hAnsi="ralewayregular" w:cs="Arial"/>
        </w:rPr>
        <w:t>Accountability</w:t>
      </w:r>
      <w:proofErr w:type="spellEnd"/>
      <w:r>
        <w:rPr>
          <w:rFonts w:ascii="ralewayregular" w:hAnsi="ralewayregular" w:cs="Arial"/>
        </w:rPr>
        <w:t>), Agilité (</w:t>
      </w:r>
      <w:proofErr w:type="spellStart"/>
      <w:r>
        <w:rPr>
          <w:rFonts w:ascii="ralewayregular" w:hAnsi="ralewayregular" w:cs="Arial"/>
        </w:rPr>
        <w:t>Agility</w:t>
      </w:r>
      <w:proofErr w:type="spellEnd"/>
      <w:r>
        <w:rPr>
          <w:rFonts w:ascii="ralewayregular" w:hAnsi="ralewayregular" w:cs="Arial"/>
        </w:rPr>
        <w:t xml:space="preserve">), </w:t>
      </w:r>
      <w:proofErr w:type="spellStart"/>
      <w:r>
        <w:rPr>
          <w:rFonts w:ascii="ralewayregular" w:hAnsi="ralewayregular" w:cs="Arial"/>
        </w:rPr>
        <w:t>Intraprenariat</w:t>
      </w:r>
      <w:proofErr w:type="spellEnd"/>
      <w:r>
        <w:rPr>
          <w:rFonts w:ascii="ralewayregular" w:hAnsi="ralewayregular" w:cs="Arial"/>
        </w:rPr>
        <w:t xml:space="preserve"> (</w:t>
      </w:r>
      <w:proofErr w:type="spellStart"/>
      <w:r>
        <w:rPr>
          <w:rFonts w:ascii="ralewayregular" w:hAnsi="ralewayregular" w:cs="Arial"/>
        </w:rPr>
        <w:t>Intrapreneurship</w:t>
      </w:r>
      <w:proofErr w:type="spellEnd"/>
      <w:r>
        <w:rPr>
          <w:rFonts w:ascii="ralewayregular" w:hAnsi="ralewayregular" w:cs="Arial"/>
        </w:rPr>
        <w:t>)? Alors rejoignez-nous!</w:t>
      </w:r>
    </w:p>
    <w:p w:rsidR="00E63332" w:rsidRDefault="00E63332"/>
    <w:p w:rsidR="00BB1100" w:rsidRDefault="00BB1100">
      <w:r>
        <w:t xml:space="preserve">Pour postuler, rendez-vous directement sur notre site Carrières </w:t>
      </w:r>
      <w:hyperlink r:id="rId5" w:history="1">
        <w:r w:rsidRPr="0065104B">
          <w:rPr>
            <w:rStyle w:val="Lienhypertexte"/>
          </w:rPr>
          <w:t>https://boehringer.tal</w:t>
        </w:r>
        <w:r w:rsidRPr="0065104B">
          <w:rPr>
            <w:rStyle w:val="Lienhypertexte"/>
          </w:rPr>
          <w:t>e</w:t>
        </w:r>
        <w:r w:rsidRPr="0065104B">
          <w:rPr>
            <w:rStyle w:val="Lienhypertexte"/>
          </w:rPr>
          <w:t>o.net/careersection/global+template+career+section+28external29/jobdetail.ftl?job=1812778&amp;lang=fr</w:t>
        </w:r>
      </w:hyperlink>
    </w:p>
    <w:p w:rsidR="00BB1100" w:rsidRDefault="00BB1100"/>
    <w:sectPr w:rsidR="00BB1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raleway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0E"/>
    <w:rsid w:val="00BB1100"/>
    <w:rsid w:val="00C5710E"/>
    <w:rsid w:val="00E63332"/>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fr-FR"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5710E"/>
    <w:rPr>
      <w:b/>
      <w:bCs/>
    </w:rPr>
  </w:style>
  <w:style w:type="paragraph" w:styleId="NormalWeb">
    <w:name w:val="Normal (Web)"/>
    <w:basedOn w:val="Normal"/>
    <w:uiPriority w:val="99"/>
    <w:unhideWhenUsed/>
    <w:rsid w:val="00C5710E"/>
    <w:pPr>
      <w:spacing w:before="240" w:after="240"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BB1100"/>
    <w:rPr>
      <w:color w:val="0000FF" w:themeColor="hyperlink"/>
      <w:u w:val="single"/>
    </w:rPr>
  </w:style>
  <w:style w:type="character" w:styleId="Lienhypertextesuivivisit">
    <w:name w:val="FollowedHyperlink"/>
    <w:basedOn w:val="Policepardfaut"/>
    <w:uiPriority w:val="99"/>
    <w:semiHidden/>
    <w:unhideWhenUsed/>
    <w:rsid w:val="00BB1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fr-FR"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5710E"/>
    <w:rPr>
      <w:b/>
      <w:bCs/>
    </w:rPr>
  </w:style>
  <w:style w:type="paragraph" w:styleId="NormalWeb">
    <w:name w:val="Normal (Web)"/>
    <w:basedOn w:val="Normal"/>
    <w:uiPriority w:val="99"/>
    <w:unhideWhenUsed/>
    <w:rsid w:val="00C5710E"/>
    <w:pPr>
      <w:spacing w:before="240" w:after="240"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BB1100"/>
    <w:rPr>
      <w:color w:val="0000FF" w:themeColor="hyperlink"/>
      <w:u w:val="single"/>
    </w:rPr>
  </w:style>
  <w:style w:type="character" w:styleId="Lienhypertextesuivivisit">
    <w:name w:val="FollowedHyperlink"/>
    <w:basedOn w:val="Policepardfaut"/>
    <w:uiPriority w:val="99"/>
    <w:semiHidden/>
    <w:unhideWhenUsed/>
    <w:rsid w:val="00BB1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63070">
      <w:bodyDiv w:val="1"/>
      <w:marLeft w:val="0"/>
      <w:marRight w:val="0"/>
      <w:marTop w:val="0"/>
      <w:marBottom w:val="0"/>
      <w:divBdr>
        <w:top w:val="none" w:sz="0" w:space="0" w:color="auto"/>
        <w:left w:val="none" w:sz="0" w:space="0" w:color="auto"/>
        <w:bottom w:val="none" w:sz="0" w:space="0" w:color="auto"/>
        <w:right w:val="none" w:sz="0" w:space="0" w:color="auto"/>
      </w:divBdr>
      <w:divsChild>
        <w:div w:id="1934123815">
          <w:marLeft w:val="0"/>
          <w:marRight w:val="0"/>
          <w:marTop w:val="0"/>
          <w:marBottom w:val="0"/>
          <w:divBdr>
            <w:top w:val="none" w:sz="0" w:space="0" w:color="auto"/>
            <w:left w:val="none" w:sz="0" w:space="0" w:color="auto"/>
            <w:bottom w:val="none" w:sz="0" w:space="0" w:color="auto"/>
            <w:right w:val="none" w:sz="0" w:space="0" w:color="auto"/>
          </w:divBdr>
          <w:divsChild>
            <w:div w:id="782115792">
              <w:marLeft w:val="0"/>
              <w:marRight w:val="0"/>
              <w:marTop w:val="0"/>
              <w:marBottom w:val="0"/>
              <w:divBdr>
                <w:top w:val="none" w:sz="0" w:space="0" w:color="auto"/>
                <w:left w:val="none" w:sz="0" w:space="0" w:color="auto"/>
                <w:bottom w:val="none" w:sz="0" w:space="0" w:color="auto"/>
                <w:right w:val="none" w:sz="0" w:space="0" w:color="auto"/>
              </w:divBdr>
              <w:divsChild>
                <w:div w:id="1839886638">
                  <w:marLeft w:val="0"/>
                  <w:marRight w:val="0"/>
                  <w:marTop w:val="0"/>
                  <w:marBottom w:val="0"/>
                  <w:divBdr>
                    <w:top w:val="none" w:sz="0" w:space="0" w:color="auto"/>
                    <w:left w:val="none" w:sz="0" w:space="0" w:color="auto"/>
                    <w:bottom w:val="none" w:sz="0" w:space="0" w:color="auto"/>
                    <w:right w:val="none" w:sz="0" w:space="0" w:color="auto"/>
                  </w:divBdr>
                  <w:divsChild>
                    <w:div w:id="1921796124">
                      <w:marLeft w:val="0"/>
                      <w:marRight w:val="0"/>
                      <w:marTop w:val="450"/>
                      <w:marBottom w:val="0"/>
                      <w:divBdr>
                        <w:top w:val="none" w:sz="0" w:space="0" w:color="auto"/>
                        <w:left w:val="none" w:sz="0" w:space="0" w:color="auto"/>
                        <w:bottom w:val="none" w:sz="0" w:space="0" w:color="auto"/>
                        <w:right w:val="none" w:sz="0" w:space="0" w:color="auto"/>
                      </w:divBdr>
                      <w:divsChild>
                        <w:div w:id="605427670">
                          <w:marLeft w:val="0"/>
                          <w:marRight w:val="0"/>
                          <w:marTop w:val="0"/>
                          <w:marBottom w:val="0"/>
                          <w:divBdr>
                            <w:top w:val="none" w:sz="0" w:space="0" w:color="auto"/>
                            <w:left w:val="none" w:sz="0" w:space="0" w:color="auto"/>
                            <w:bottom w:val="none" w:sz="0" w:space="0" w:color="auto"/>
                            <w:right w:val="none" w:sz="0" w:space="0" w:color="auto"/>
                          </w:divBdr>
                          <w:divsChild>
                            <w:div w:id="1310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oehringer.taleo.net/careersection/global+template+career+section+28external29/jobdetail.ftl?job=1812778&amp;lang=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Boehringer Ingelheim</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Guillermin,Marie-Caroline (HR) MER-FR-L</dc:creator>
  <cp:lastModifiedBy>Guillermin,Marie-Caroline (HR) MER-FR-L</cp:lastModifiedBy>
  <cp:revision>3</cp:revision>
  <dcterms:created xsi:type="dcterms:W3CDTF">2018-10-25T07:01:00Z</dcterms:created>
  <dcterms:modified xsi:type="dcterms:W3CDTF">2018-10-25T07:05:00Z</dcterms:modified>
</cp:coreProperties>
</file>